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F7743"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00DAC933" wp14:editId="6465528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rsidR="00B666BF" w:rsidRPr="00AF7743"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rPr>
        <w:t xml:space="preserve">Última reforma aplicada P.O. del </w:t>
      </w:r>
      <w:r w:rsidR="000A5EB3">
        <w:rPr>
          <w:rFonts w:ascii="Arial" w:hAnsi="Arial" w:cs="Arial"/>
          <w:b/>
          <w:sz w:val="20"/>
        </w:rPr>
        <w:t>03</w:t>
      </w:r>
      <w:r w:rsidRPr="00053108">
        <w:rPr>
          <w:rFonts w:ascii="Arial" w:hAnsi="Arial" w:cs="Arial"/>
          <w:b/>
          <w:sz w:val="20"/>
        </w:rPr>
        <w:t xml:space="preserve"> de </w:t>
      </w:r>
      <w:r w:rsidR="000A5EB3">
        <w:rPr>
          <w:rFonts w:ascii="Arial" w:hAnsi="Arial" w:cs="Arial"/>
          <w:b/>
          <w:sz w:val="20"/>
        </w:rPr>
        <w:t>mayo</w:t>
      </w:r>
      <w:r w:rsidRPr="00053108">
        <w:rPr>
          <w:rFonts w:ascii="Arial" w:hAnsi="Arial" w:cs="Arial"/>
          <w:b/>
          <w:sz w:val="20"/>
        </w:rPr>
        <w:t xml:space="preserve"> de 20</w:t>
      </w:r>
      <w:r>
        <w:rPr>
          <w:rFonts w:ascii="Arial" w:hAnsi="Arial" w:cs="Arial"/>
          <w:b/>
          <w:sz w:val="20"/>
        </w:rPr>
        <w:t>2</w:t>
      </w:r>
      <w:r w:rsidR="000A5EB3">
        <w:rPr>
          <w:rFonts w:ascii="Arial" w:hAnsi="Arial" w:cs="Arial"/>
          <w:b/>
          <w:sz w:val="20"/>
        </w:rPr>
        <w:t>3</w:t>
      </w:r>
      <w:r w:rsidRPr="00053108">
        <w:rPr>
          <w:rFonts w:ascii="Arial" w:hAnsi="Arial" w:cs="Arial"/>
          <w:b/>
          <w:sz w:val="20"/>
        </w:rPr>
        <w:t>.</w:t>
      </w:r>
    </w:p>
    <w:p w:rsidR="00066D8A" w:rsidRPr="00AF7743" w:rsidRDefault="00066D8A" w:rsidP="00066D8A">
      <w:pPr>
        <w:rPr>
          <w:b/>
          <w:sz w:val="20"/>
        </w:rPr>
      </w:pPr>
      <w:r w:rsidRPr="00AF7743">
        <w:rPr>
          <w:b/>
          <w:sz w:val="20"/>
        </w:rPr>
        <w:br w:type="page"/>
      </w:r>
    </w:p>
    <w:p w:rsidR="00C73094" w:rsidRPr="00AF7743" w:rsidRDefault="00C73094" w:rsidP="00342435">
      <w:pPr>
        <w:autoSpaceDE w:val="0"/>
        <w:autoSpaceDN w:val="0"/>
        <w:adjustRightInd w:val="0"/>
        <w:jc w:val="both"/>
        <w:rPr>
          <w:rFonts w:ascii="Arial" w:hAnsi="Arial" w:cs="Arial"/>
          <w:bCs/>
          <w:sz w:val="20"/>
          <w:lang w:val="es-MX" w:eastAsia="es-MX"/>
        </w:rPr>
      </w:pPr>
    </w:p>
    <w:p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rsidR="00342435" w:rsidRPr="00AF7743" w:rsidRDefault="00342435" w:rsidP="00342435">
      <w:pPr>
        <w:tabs>
          <w:tab w:val="left" w:pos="1335"/>
        </w:tabs>
        <w:jc w:val="both"/>
        <w:rPr>
          <w:rFonts w:ascii="Arial" w:hAnsi="Arial" w:cs="Arial"/>
          <w:spacing w:val="-4"/>
          <w:sz w:val="20"/>
          <w:lang w:val="es-ES_tradnl"/>
        </w:rPr>
      </w:pPr>
    </w:p>
    <w:p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rsidR="00342435" w:rsidRPr="00AF7743" w:rsidRDefault="00342435" w:rsidP="00342435">
      <w:pPr>
        <w:jc w:val="both"/>
        <w:rPr>
          <w:rFonts w:ascii="Arial" w:hAnsi="Arial" w:cs="Arial"/>
          <w:spacing w:val="-4"/>
          <w:sz w:val="20"/>
          <w:lang w:val="es-ES_tradnl"/>
        </w:rPr>
      </w:pPr>
    </w:p>
    <w:p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Al margen un sello que dice:- “Estados Unidos Mexicanos.- Gobierno de Tamaulipas.- Poder Legislativo.</w:t>
      </w:r>
    </w:p>
    <w:p w:rsidR="00342435" w:rsidRPr="00AF7743" w:rsidRDefault="00342435" w:rsidP="00342435">
      <w:pPr>
        <w:tabs>
          <w:tab w:val="left" w:pos="8789"/>
        </w:tabs>
        <w:jc w:val="both"/>
        <w:rPr>
          <w:rFonts w:ascii="Arial" w:hAnsi="Arial" w:cs="Arial"/>
          <w:b/>
          <w:spacing w:val="-4"/>
          <w:sz w:val="20"/>
        </w:rPr>
      </w:pPr>
    </w:p>
    <w:p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rsidR="00773495" w:rsidRPr="00AF7743" w:rsidRDefault="00773495" w:rsidP="00342435">
      <w:pPr>
        <w:tabs>
          <w:tab w:val="left" w:pos="8789"/>
        </w:tabs>
        <w:jc w:val="both"/>
        <w:rPr>
          <w:rFonts w:ascii="Arial" w:hAnsi="Arial" w:cs="Arial"/>
          <w:b/>
          <w:spacing w:val="-4"/>
          <w:sz w:val="20"/>
        </w:rPr>
      </w:pPr>
    </w:p>
    <w:p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O</w:t>
      </w:r>
      <w:proofErr w:type="gramStart"/>
      <w:r w:rsidRPr="00AF7743">
        <w:rPr>
          <w:rFonts w:ascii="Arial" w:hAnsi="Arial" w:cs="Arial"/>
          <w:b/>
          <w:bCs/>
          <w:spacing w:val="-4"/>
          <w:sz w:val="20"/>
          <w:lang w:val="pt-BR"/>
        </w:rPr>
        <w:t xml:space="preserve">  </w:t>
      </w:r>
      <w:proofErr w:type="gramEnd"/>
      <w:r w:rsidRPr="00AF7743">
        <w:rPr>
          <w:rFonts w:ascii="Arial" w:hAnsi="Arial" w:cs="Arial"/>
          <w:b/>
          <w:bCs/>
          <w:spacing w:val="-4"/>
          <w:sz w:val="20"/>
          <w:lang w:val="pt-BR"/>
        </w:rPr>
        <w:t xml:space="preserve">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rsidR="00342435" w:rsidRPr="00AF7743" w:rsidRDefault="00342435" w:rsidP="00A81AB1">
      <w:pPr>
        <w:keepNext/>
        <w:jc w:val="center"/>
        <w:outlineLvl w:val="1"/>
        <w:rPr>
          <w:rFonts w:ascii="Arial" w:hAnsi="Arial" w:cs="Arial"/>
          <w:b/>
          <w:bCs/>
          <w:spacing w:val="-4"/>
          <w:sz w:val="20"/>
        </w:rPr>
      </w:pPr>
    </w:p>
    <w:p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rsidR="00BF4AF6" w:rsidRPr="00AF7743" w:rsidRDefault="00BF4AF6" w:rsidP="00BF4AF6">
      <w:pPr>
        <w:ind w:right="-1"/>
        <w:jc w:val="both"/>
        <w:rPr>
          <w:rFonts w:ascii="Arial" w:hAnsi="Arial" w:cs="Arial"/>
          <w:b/>
          <w:sz w:val="20"/>
        </w:rPr>
      </w:pPr>
    </w:p>
    <w:p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rsidR="00363FED" w:rsidRPr="00AF7743" w:rsidRDefault="00363FED" w:rsidP="00363FED">
      <w:pPr>
        <w:autoSpaceDE w:val="0"/>
        <w:autoSpaceDN w:val="0"/>
        <w:adjustRightInd w:val="0"/>
        <w:ind w:right="139"/>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rsidR="00D67872" w:rsidRPr="00AF7743" w:rsidRDefault="00D67872"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rsidR="00D23080" w:rsidRPr="00AF7743" w:rsidRDefault="00D23080" w:rsidP="00363FED">
      <w:pPr>
        <w:tabs>
          <w:tab w:val="left" w:pos="11270"/>
        </w:tabs>
        <w:ind w:right="-63"/>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rsidR="00363FED" w:rsidRPr="00AF7743" w:rsidRDefault="00363FED" w:rsidP="00363FED">
      <w:pPr>
        <w:contextualSpacing/>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rsidR="00363FED" w:rsidRPr="00414E47" w:rsidRDefault="00363FED"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07B33" w:rsidRPr="00414E47" w:rsidRDefault="00307B33" w:rsidP="00363FED">
      <w:pPr>
        <w:tabs>
          <w:tab w:val="left" w:pos="11270"/>
        </w:tabs>
        <w:contextualSpacing/>
        <w:jc w:val="both"/>
        <w:rPr>
          <w:rFonts w:ascii="Arial" w:hAnsi="Arial" w:cs="Arial"/>
          <w:b/>
          <w:sz w:val="16"/>
        </w:rPr>
      </w:pPr>
    </w:p>
    <w:p w:rsidR="00363FED" w:rsidRDefault="00363FED" w:rsidP="00363FED">
      <w:pPr>
        <w:tabs>
          <w:tab w:val="left" w:pos="11270"/>
        </w:tabs>
        <w:contextualSpacing/>
        <w:jc w:val="both"/>
        <w:rPr>
          <w:rFonts w:ascii="Arial" w:hAnsi="Arial" w:cs="Arial"/>
          <w:b/>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rsidR="005C04EC" w:rsidRPr="00414E47" w:rsidRDefault="005C04EC" w:rsidP="00363FED">
      <w:pPr>
        <w:tabs>
          <w:tab w:val="left" w:pos="11270"/>
        </w:tabs>
        <w:contextualSpacing/>
        <w:jc w:val="both"/>
        <w:rPr>
          <w:rFonts w:ascii="Arial" w:hAnsi="Arial" w:cs="Arial"/>
          <w:b/>
          <w:sz w:val="16"/>
        </w:rPr>
      </w:pPr>
    </w:p>
    <w:p w:rsidR="005C04EC" w:rsidRPr="00AF7743" w:rsidRDefault="005C04EC" w:rsidP="00363FED">
      <w:pPr>
        <w:tabs>
          <w:tab w:val="left" w:pos="11270"/>
        </w:tabs>
        <w:contextualSpacing/>
        <w:jc w:val="both"/>
        <w:rPr>
          <w:rFonts w:ascii="Arial" w:hAnsi="Arial" w:cs="Arial"/>
          <w:sz w:val="20"/>
        </w:rPr>
      </w:pPr>
      <w:r w:rsidRPr="005C04EC">
        <w:rPr>
          <w:rFonts w:ascii="Arial" w:hAnsi="Arial" w:cs="Arial"/>
          <w:b/>
          <w:sz w:val="20"/>
        </w:rPr>
        <w:t>VI Bis. Buena administración pública:</w:t>
      </w:r>
      <w:r w:rsidRPr="005C04EC">
        <w:rPr>
          <w:rFonts w:ascii="Arial" w:hAnsi="Arial" w:cs="Arial"/>
          <w:sz w:val="20"/>
        </w:rPr>
        <w:t xml:space="preserve"> Derecho que se garantiza a través de un gobierno abierto, integral, honesto, transparente, profesional, eficaz, eficiente, austero incluyente y </w:t>
      </w:r>
      <w:proofErr w:type="spellStart"/>
      <w:r w:rsidRPr="005C04EC">
        <w:rPr>
          <w:rFonts w:ascii="Arial" w:hAnsi="Arial" w:cs="Arial"/>
          <w:sz w:val="20"/>
        </w:rPr>
        <w:t>resiliente</w:t>
      </w:r>
      <w:proofErr w:type="spellEnd"/>
      <w:r w:rsidRPr="005C04EC">
        <w:rPr>
          <w:rFonts w:ascii="Arial" w:hAnsi="Arial" w:cs="Arial"/>
          <w:sz w:val="20"/>
        </w:rPr>
        <w:t xml:space="preserve"> que procure el interés público, combata la corrupción, y contribuya a la generación de valor público y bienestar en beneficio de los habitantes de Tamaulipas;</w:t>
      </w:r>
    </w:p>
    <w:p w:rsidR="00414E47" w:rsidRDefault="00414E47" w:rsidP="00414E47">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07B33" w:rsidRDefault="00414E47" w:rsidP="00414E47">
      <w:pPr>
        <w:tabs>
          <w:tab w:val="left" w:pos="11270"/>
        </w:tabs>
        <w:contextualSpacing/>
        <w:jc w:val="right"/>
        <w:rPr>
          <w:rFonts w:ascii="Arial" w:hAnsi="Arial" w:cs="Arial"/>
          <w:b/>
          <w:i/>
          <w:sz w:val="16"/>
          <w:szCs w:val="16"/>
          <w:lang w:val="es-MX"/>
        </w:rPr>
      </w:pPr>
      <w:hyperlink r:id="rId10" w:history="1">
        <w:r w:rsidRPr="001D3D6A">
          <w:rPr>
            <w:rStyle w:val="Hipervnculo"/>
            <w:rFonts w:ascii="Arial" w:hAnsi="Arial" w:cs="Arial"/>
            <w:b/>
            <w:i/>
            <w:sz w:val="16"/>
            <w:szCs w:val="16"/>
            <w:lang w:val="es-MX"/>
          </w:rPr>
          <w:t>https://po.tamaulipas.gob.mx/wp-content/uploads/2023/05/cxlviii-53-030523.pdf</w:t>
        </w:r>
      </w:hyperlink>
    </w:p>
    <w:p w:rsidR="00414E47" w:rsidRPr="00414E47" w:rsidRDefault="00414E47" w:rsidP="00414E47">
      <w:pPr>
        <w:tabs>
          <w:tab w:val="left" w:pos="11270"/>
        </w:tabs>
        <w:contextualSpacing/>
        <w:jc w:val="right"/>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rsidR="00307B33" w:rsidRPr="00414E47" w:rsidRDefault="00307B33" w:rsidP="00363FED">
      <w:pPr>
        <w:tabs>
          <w:tab w:val="left" w:pos="11270"/>
        </w:tabs>
        <w:contextualSpacing/>
        <w:jc w:val="both"/>
        <w:rPr>
          <w:rFonts w:ascii="Arial" w:eastAsia="Calibri" w:hAnsi="Arial" w:cs="Arial"/>
          <w:b/>
          <w:bCs/>
          <w:sz w:val="16"/>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rsidR="00307B33" w:rsidRPr="00414E47" w:rsidRDefault="00307B33" w:rsidP="00363FED">
      <w:pPr>
        <w:autoSpaceDE w:val="0"/>
        <w:autoSpaceDN w:val="0"/>
        <w:adjustRightInd w:val="0"/>
        <w:contextualSpacing/>
        <w:jc w:val="both"/>
        <w:rPr>
          <w:rFonts w:ascii="Arial" w:eastAsia="Calibri" w:hAnsi="Arial" w:cs="Arial"/>
          <w:b/>
          <w:bCs/>
          <w:sz w:val="16"/>
          <w:lang w:val="es-MX"/>
        </w:rPr>
      </w:pPr>
    </w:p>
    <w:p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w:t>
      </w:r>
      <w:r w:rsidRPr="00AF7743">
        <w:rPr>
          <w:rFonts w:ascii="Arial" w:hAnsi="Arial" w:cs="Arial"/>
          <w:sz w:val="20"/>
        </w:rPr>
        <w:lastRenderedPageBreak/>
        <w:t>lo dispuesto en el artículo 45 de la Constitución, la Ley General de Contabilidad Gubernamental y demás normativas aplicables en la materia;</w:t>
      </w:r>
    </w:p>
    <w:p w:rsidR="00307B33" w:rsidRPr="00414E47" w:rsidRDefault="00307B33" w:rsidP="00363FED">
      <w:pPr>
        <w:autoSpaceDE w:val="0"/>
        <w:autoSpaceDN w:val="0"/>
        <w:adjustRightInd w:val="0"/>
        <w:contextualSpacing/>
        <w:jc w:val="both"/>
        <w:rPr>
          <w:rFonts w:ascii="Arial" w:eastAsia="Calibri" w:hAnsi="Arial" w:cs="Arial"/>
          <w:b/>
          <w:bCs/>
          <w:sz w:val="16"/>
        </w:rPr>
      </w:pPr>
    </w:p>
    <w:p w:rsidR="00363FED"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rsidR="00414E47" w:rsidRPr="00414E47" w:rsidRDefault="00414E47" w:rsidP="00363FED">
      <w:pPr>
        <w:autoSpaceDE w:val="0"/>
        <w:autoSpaceDN w:val="0"/>
        <w:adjustRightInd w:val="0"/>
        <w:contextualSpacing/>
        <w:jc w:val="both"/>
        <w:rPr>
          <w:rFonts w:ascii="Arial" w:eastAsia="Calibri" w:hAnsi="Arial" w:cs="Arial"/>
          <w:sz w:val="16"/>
          <w:lang w:val="es-MX"/>
        </w:rPr>
      </w:pPr>
    </w:p>
    <w:p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t>XIII. Entidades sujetas de fiscalización:</w:t>
      </w:r>
    </w:p>
    <w:p w:rsidR="00307B33" w:rsidRPr="00414E47" w:rsidRDefault="00307B33" w:rsidP="00363FED">
      <w:pPr>
        <w:tabs>
          <w:tab w:val="left" w:pos="11270"/>
        </w:tabs>
        <w:contextualSpacing/>
        <w:jc w:val="both"/>
        <w:rPr>
          <w:rFonts w:ascii="Arial" w:hAnsi="Arial" w:cs="Arial"/>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 Poderes del Estado: Poderes Ejecutivo, Legislativo y Judicial, así como sus órganos y dependencias;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 Los Ayuntamientos de los Municipios del Estado;</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c).- Organismos Públicos Descentralizados Estatales y Municipales;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d).- Empresas y fideicomisos en los que el fideicomitente sea cualquiera de las entidades citadas en los incisos a), b) y c) de esta fracción, mandatos o cualquier otra figura jurídica que hayan recibido o ejercido por cualquier título recursos públicos;</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 Órganos u organismos con autonomía de los Poderes del Estado; y</w:t>
      </w:r>
    </w:p>
    <w:p w:rsidR="00307B33" w:rsidRPr="00414E47" w:rsidRDefault="00307B33" w:rsidP="00363FED">
      <w:pPr>
        <w:tabs>
          <w:tab w:val="left" w:pos="11270"/>
        </w:tabs>
        <w:contextualSpacing/>
        <w:jc w:val="both"/>
        <w:rPr>
          <w:rFonts w:ascii="Arial" w:hAnsi="Arial" w:cs="Arial"/>
          <w:sz w:val="12"/>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 xml:space="preserve">f).-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rsidR="00307B33" w:rsidRPr="00414E47" w:rsidRDefault="00307B33" w:rsidP="00363FED">
      <w:pPr>
        <w:tabs>
          <w:tab w:val="left" w:pos="11270"/>
        </w:tabs>
        <w:contextualSpacing/>
        <w:jc w:val="both"/>
        <w:rPr>
          <w:rFonts w:ascii="Arial" w:hAnsi="Arial" w:cs="Arial"/>
          <w:b/>
          <w:sz w:val="16"/>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rsidR="00307B33" w:rsidRPr="00414E47" w:rsidRDefault="00307B33" w:rsidP="00363FED">
      <w:pPr>
        <w:tabs>
          <w:tab w:val="left" w:pos="11270"/>
        </w:tabs>
        <w:contextualSpacing/>
        <w:jc w:val="both"/>
        <w:rPr>
          <w:rFonts w:ascii="Arial" w:hAnsi="Arial" w:cs="Arial"/>
          <w:b/>
          <w:sz w:val="16"/>
        </w:rPr>
      </w:pPr>
    </w:p>
    <w:p w:rsidR="00307B33" w:rsidRPr="00414E47"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rsidR="00363FED" w:rsidRPr="00AF7743" w:rsidRDefault="00363FED" w:rsidP="00363FED">
      <w:pPr>
        <w:tabs>
          <w:tab w:val="left" w:pos="11270"/>
        </w:tabs>
        <w:contextualSpacing/>
        <w:jc w:val="both"/>
        <w:rPr>
          <w:rFonts w:ascii="Arial" w:hAnsi="Arial" w:cs="Arial"/>
          <w:sz w:val="20"/>
        </w:rPr>
      </w:pP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lastRenderedPageBreak/>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rsidR="00363FED" w:rsidRPr="00AF7743" w:rsidRDefault="00363FED" w:rsidP="00363FED">
      <w:pPr>
        <w:tabs>
          <w:tab w:val="left" w:pos="11270"/>
        </w:tabs>
        <w:contextualSpacing/>
        <w:jc w:val="both"/>
        <w:rPr>
          <w:rFonts w:ascii="Arial" w:hAnsi="Arial" w:cs="Arial"/>
          <w:b/>
          <w:bCs/>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rsidR="00363FED" w:rsidRPr="00AF7743" w:rsidRDefault="00363FED" w:rsidP="00363FED">
      <w:pPr>
        <w:contextualSpacing/>
        <w:jc w:val="both"/>
        <w:rPr>
          <w:rFonts w:ascii="Arial" w:hAnsi="Arial" w:cs="Arial"/>
          <w:sz w:val="20"/>
          <w:lang w:val="es-MX"/>
        </w:rPr>
      </w:pPr>
    </w:p>
    <w:p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rsidR="00363FED" w:rsidRPr="006148D6"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rsidR="00363FED" w:rsidRPr="00AF7743" w:rsidRDefault="00363FE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w:t>
      </w:r>
      <w:proofErr w:type="gramStart"/>
      <w:r w:rsidRPr="00AF7743">
        <w:rPr>
          <w:rFonts w:ascii="Arial" w:hAnsi="Arial" w:cs="Arial"/>
          <w:sz w:val="20"/>
          <w:lang w:val="es-MX"/>
        </w:rPr>
        <w:t>suscrita</w:t>
      </w:r>
      <w:proofErr w:type="gramEnd"/>
      <w:r w:rsidRPr="00AF7743">
        <w:rPr>
          <w:rFonts w:ascii="Arial" w:hAnsi="Arial" w:cs="Arial"/>
          <w:sz w:val="20"/>
          <w:lang w:val="es-MX"/>
        </w:rPr>
        <w:t xml:space="preserve"> por el Presidente, Síndico y Tesorero Municipales. </w:t>
      </w: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rsidR="00363FED" w:rsidRPr="00AF7743" w:rsidRDefault="00363FED" w:rsidP="00363FED">
      <w:pPr>
        <w:tabs>
          <w:tab w:val="left" w:pos="11270"/>
        </w:tabs>
        <w:contextualSpacing/>
        <w:jc w:val="both"/>
        <w:rPr>
          <w:rFonts w:ascii="Arial" w:hAnsi="Arial" w:cs="Arial"/>
          <w:b/>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SEGUNDO</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rsidR="00363FED" w:rsidRDefault="00363FED" w:rsidP="00363FED">
      <w:pPr>
        <w:autoSpaceDE w:val="0"/>
        <w:autoSpaceDN w:val="0"/>
        <w:adjustRightInd w:val="0"/>
        <w:contextualSpacing/>
        <w:jc w:val="both"/>
        <w:rPr>
          <w:rFonts w:ascii="Arial" w:eastAsia="Calibri" w:hAnsi="Arial" w:cs="Arial"/>
          <w:sz w:val="20"/>
          <w:lang w:val="es-MX"/>
        </w:rPr>
      </w:pPr>
    </w:p>
    <w:p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r w:rsidRPr="00F13062">
        <w:rPr>
          <w:rFonts w:ascii="Arial" w:hAnsi="Arial" w:cs="Arial"/>
          <w:b/>
          <w:spacing w:val="-4"/>
          <w:sz w:val="20"/>
        </w:rPr>
        <w:t xml:space="preserve">Bis.-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rsidR="00F13062" w:rsidRPr="00AF7743" w:rsidRDefault="00F13062"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rsidR="0056374B" w:rsidRPr="00AF7743" w:rsidRDefault="0056374B"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rsidR="00634565" w:rsidRPr="00AF7743" w:rsidRDefault="00634565" w:rsidP="00363FED">
      <w:pPr>
        <w:contextualSpacing/>
        <w:jc w:val="both"/>
        <w:rPr>
          <w:rFonts w:ascii="Arial" w:eastAsia="Calibri" w:hAnsi="Arial" w:cs="Arial"/>
          <w:sz w:val="20"/>
          <w:lang w:val="es-MX"/>
        </w:rPr>
      </w:pP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a la legalidad, y si no han causado daños o perjuicios, o ambos, en contra de la Hacienda Pública Estatal, Municipal o, en su caso, del patrimonio de los entes públicos del Estado y de los Municipios;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 Si los programas y su ejecución se ajustaron a los términos y montos aprobados en el Presupuesto de Egresos; y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iii.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rsidR="007F6354" w:rsidRPr="00AF7743" w:rsidRDefault="007F635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rsidR="003C1F11" w:rsidRPr="00AF7743" w:rsidRDefault="003C1F11" w:rsidP="003C1F11">
      <w:pPr>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rsidR="003C1F11" w:rsidRPr="00AF7743" w:rsidRDefault="003C1F11"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rsidR="00D61DA6" w:rsidRPr="00AF7743" w:rsidRDefault="00D61DA6"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y penales establecidas en las leyes correspondientes;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rsidR="00373A14" w:rsidRPr="00AF7743" w:rsidRDefault="00373A14" w:rsidP="00363FED">
      <w:pPr>
        <w:contextualSpacing/>
        <w:jc w:val="both"/>
        <w:rPr>
          <w:rFonts w:ascii="Arial" w:eastAsia="Calibri" w:hAnsi="Arial" w:cs="Arial"/>
          <w:sz w:val="20"/>
          <w:lang w:val="es-MX"/>
        </w:rPr>
      </w:pP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ley así como en las demás disposiciones aplicables;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rsidR="008D4AA7" w:rsidRPr="00AF7743" w:rsidRDefault="008D4AA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rsidR="008D4AA7" w:rsidRPr="00AF7743" w:rsidRDefault="008D4AA7"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17.- </w:t>
      </w:r>
      <w:r w:rsidRPr="00AF7743">
        <w:rPr>
          <w:rFonts w:ascii="Arial" w:eastAsia="Calibri" w:hAnsi="Arial" w:cs="Arial"/>
          <w:sz w:val="20"/>
          <w:lang w:val="es-MX"/>
        </w:rPr>
        <w:t>La práctica de las auditorías, visitas e inspecciones se sujetará a lo siguiente: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 y el lugar o lugares en que deba practicarse;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Nombre de las personas que las practicarán, las cuales podrán en número ser sustituidas, aumentadas o reducidas en cualquier tiempo por el Auditor o Auditores Especiales, notificándose a la entidad sujeta de fiscalización; y</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El objeto y alcance que deban tener, el ejercicio o período presupuestal a que se refieran y las disposiciones legales que las fundamenten.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Hora, día, mes y año en que se inicie y cierre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Lugar en que se levanta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 Número y fecha del oficio que contiene la orden de visita respectiva y la autoridad que lo emite;</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 Nombre del titular o representante legal o del servidor público de la entidad sujeta de fiscalización con quien se entiendan y los documentos con los que se identificó;</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 Nombre y documentos con que se identificaron las personas designadas o habilitadas para atender la auditoría y personas que fungieron como testigos; y</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 Documentación e información que fue solicitada a la entidad sujeta de fiscalización y la que fue entregada por esta al personal que las practique.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negaran a firmarlas, esta circunstancia se asentará en la propia acta, sin que afecte su validez y valor probatorio dándose por concluidas.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actas, así como las declaraciones o hechos en ellas contenidos, harán prueba plena en términos de ley, salvo prueba en contrario.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Artículo 32.-</w:t>
      </w:r>
      <w:r w:rsidRPr="00AF7743">
        <w:rPr>
          <w:rFonts w:ascii="Arial" w:eastAsia="Calibri" w:hAnsi="Arial" w:cs="Arial"/>
          <w:sz w:val="20"/>
          <w:lang w:val="es-MX"/>
        </w:rPr>
        <w:t xml:space="preserve"> La Auditoría será responsable subsidiaria de los daños y perjuicios que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rsidR="00363FED" w:rsidRPr="00AF7743" w:rsidRDefault="00363FED" w:rsidP="00363FED">
      <w:pPr>
        <w:tabs>
          <w:tab w:val="left" w:pos="11270"/>
        </w:tabs>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w:t>
      </w:r>
      <w:proofErr w:type="gramStart"/>
      <w:r w:rsidRPr="00AF7743">
        <w:rPr>
          <w:rFonts w:ascii="Arial" w:eastAsia="Calibri" w:hAnsi="Arial" w:cs="Arial"/>
          <w:sz w:val="20"/>
          <w:lang w:val="es-MX"/>
        </w:rPr>
        <w:t>tendrán</w:t>
      </w:r>
      <w:proofErr w:type="gramEnd"/>
      <w:r w:rsidRPr="00AF7743">
        <w:rPr>
          <w:rFonts w:ascii="Arial" w:eastAsia="Calibri" w:hAnsi="Arial" w:cs="Arial"/>
          <w:sz w:val="20"/>
          <w:lang w:val="es-MX"/>
        </w:rPr>
        <w:t xml:space="preserve"> el carácter de públicos, y se mantendrán en la página de Internet de la Auditoría, en formatos abiertos conforme a lo establecido en la Ley de Transparencia y Acceso a la Información Pública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w:t>
      </w:r>
      <w:proofErr w:type="spellStart"/>
      <w:r w:rsidRPr="00AF7743">
        <w:rPr>
          <w:rFonts w:ascii="Arial" w:eastAsia="Calibri" w:hAnsi="Arial" w:cs="Arial"/>
          <w:sz w:val="20"/>
          <w:lang w:val="es-MX"/>
        </w:rPr>
        <w:t>solventación</w:t>
      </w:r>
      <w:proofErr w:type="spellEnd"/>
      <w:r w:rsidRPr="00AF7743">
        <w:rPr>
          <w:rFonts w:ascii="Arial" w:eastAsia="Calibri" w:hAnsi="Arial" w:cs="Arial"/>
          <w:sz w:val="20"/>
          <w:lang w:val="es-MX"/>
        </w:rPr>
        <w:t xml:space="preserve"> de observaciones a las entidades sujetas de fiscalización, respecto a cada uno de los Informes individuales que se deriven de las funciones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Asimismo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rsidR="00C85B2E" w:rsidRPr="00AF7743" w:rsidRDefault="00C85B2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Respecto de los pliegos de observaciones, en dicho informe se dará a conocer el número de pliegos emitidos, su estatus procesal y las causas que los motivaron.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improcedencia así como, en su caso, la pena impuesta.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rsidR="00363FED" w:rsidRPr="00AF7743" w:rsidRDefault="00363FED"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TERCERO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la aplicación, ejercicio y destino de los recursos.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fiscalización, durante el ejercicio fiscal en curso, así como respecto a ejercicios fiscales distintos al de la Cuenta Pública en revisión. </w:t>
      </w:r>
    </w:p>
    <w:p w:rsidR="00112299" w:rsidRPr="00AF7743" w:rsidRDefault="0011229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rsidR="00CA5F26" w:rsidRPr="00AF7743" w:rsidRDefault="00CA5F26" w:rsidP="00363FED">
      <w:pPr>
        <w:contextualSpacing/>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rsidR="00CA5F26" w:rsidRPr="00AF7743" w:rsidRDefault="00CA5F26" w:rsidP="00363FED">
      <w:pPr>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rsidR="00363FED" w:rsidRPr="00AF7743" w:rsidRDefault="00363FED" w:rsidP="00363FED">
      <w:pPr>
        <w:tabs>
          <w:tab w:val="left" w:pos="11270"/>
        </w:tabs>
        <w:contextualSpacing/>
        <w:jc w:val="both"/>
        <w:rPr>
          <w:rFonts w:ascii="Arial" w:eastAsia="Calibri" w:hAnsi="Arial" w:cs="Arial"/>
          <w:b/>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penales y políticas a que haya lugar, conforme lo establecido en esta ley y demás legislación aplicable.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rsidR="00363FED" w:rsidRPr="00AF7743" w:rsidRDefault="00363FED" w:rsidP="00363FED">
      <w:pPr>
        <w:tabs>
          <w:tab w:val="left" w:pos="11270"/>
        </w:tabs>
        <w:contextualSpacing/>
        <w:jc w:val="center"/>
        <w:rPr>
          <w:rFonts w:ascii="Arial" w:eastAsia="Calibri" w:hAnsi="Arial" w:cs="Arial"/>
          <w:b/>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rsidR="00810434" w:rsidRPr="00AF7743" w:rsidRDefault="00810434"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rsidR="00810434" w:rsidRPr="00AF7743" w:rsidRDefault="00810434"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rsidR="00AB1F10" w:rsidRPr="00AF7743" w:rsidRDefault="00AB1F10"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 xml:space="preserve">La falta de presentación de la Cuenta Pública y de la documentación comprobatoria y </w:t>
      </w:r>
      <w:proofErr w:type="spellStart"/>
      <w:r w:rsidRPr="00AF7743">
        <w:rPr>
          <w:rFonts w:ascii="Arial" w:eastAsia="Calibri" w:hAnsi="Arial" w:cs="Arial"/>
          <w:iCs/>
          <w:sz w:val="20"/>
          <w:lang w:val="es-MX"/>
        </w:rPr>
        <w:t>justificatoria</w:t>
      </w:r>
      <w:proofErr w:type="spellEnd"/>
      <w:r w:rsidRPr="00AF7743">
        <w:rPr>
          <w:rFonts w:ascii="Arial" w:eastAsia="Calibri" w:hAnsi="Arial" w:cs="Arial"/>
          <w:iCs/>
          <w:sz w:val="20"/>
          <w:lang w:val="es-MX"/>
        </w:rPr>
        <w:t xml:space="preserve">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rsidR="00363FED" w:rsidRPr="00AF7743" w:rsidRDefault="00363FED" w:rsidP="00363FED">
      <w:pPr>
        <w:autoSpaceDE w:val="0"/>
        <w:autoSpaceDN w:val="0"/>
        <w:adjustRightInd w:val="0"/>
        <w:jc w:val="both"/>
        <w:rPr>
          <w:rFonts w:ascii="Arial" w:eastAsia="Calibri" w:hAnsi="Arial" w:cs="Arial"/>
          <w:iCs/>
          <w:sz w:val="20"/>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Lo anterior, sin perjuicio de que la unidad administrativa a cargo de las investigaciones podrá promover el informe de presunta responsabilidad administrativa, en cualquier momento en que cuente con los elementos necesarios.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le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rsidR="000D358C" w:rsidRPr="00AF7743" w:rsidRDefault="000D358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rsidR="00363FED" w:rsidRPr="00AF7743" w:rsidRDefault="00363FED" w:rsidP="00363FED">
      <w:pPr>
        <w:autoSpaceDE w:val="0"/>
        <w:autoSpaceDN w:val="0"/>
        <w:adjustRightInd w:val="0"/>
        <w:jc w:val="center"/>
        <w:rPr>
          <w:rFonts w:ascii="Arial" w:eastAsia="Calibri" w:hAnsi="Arial" w:cs="Arial"/>
          <w:b/>
          <w:bCs/>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rsidR="00363FED" w:rsidRPr="00AF7743" w:rsidRDefault="00363FED" w:rsidP="00363FED">
      <w:pPr>
        <w:contextualSpacing/>
        <w:jc w:val="center"/>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rsidR="00363FED" w:rsidRPr="00AF7743" w:rsidRDefault="00363FED" w:rsidP="00363FED">
      <w:pPr>
        <w:autoSpaceDE w:val="0"/>
        <w:autoSpaceDN w:val="0"/>
        <w:adjustRightInd w:val="0"/>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spellStart"/>
      <w:r w:rsidRPr="00AF7743">
        <w:rPr>
          <w:rFonts w:ascii="Arial" w:eastAsia="Calibri" w:hAnsi="Arial" w:cs="Arial"/>
          <w:b/>
          <w:bCs/>
          <w:sz w:val="20"/>
          <w:lang w:val="es-MX"/>
        </w:rPr>
        <w:t>lll</w:t>
      </w:r>
      <w:proofErr w:type="spellEnd"/>
      <w:r w:rsidRPr="00AF7743">
        <w:rPr>
          <w:rFonts w:ascii="Arial" w:eastAsia="Calibri" w:hAnsi="Arial" w:cs="Arial"/>
          <w:b/>
          <w:bCs/>
          <w:sz w:val="20"/>
          <w:lang w:val="es-MX"/>
        </w:rPr>
        <w:t xml:space="preserve">.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rsidR="006F1B8E" w:rsidRPr="00AF7743" w:rsidRDefault="006F1B8E"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rsidR="00363FED" w:rsidRPr="00AF7743" w:rsidRDefault="00363FED"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rsidR="00363FED" w:rsidRPr="00AF7743" w:rsidRDefault="00363FED" w:rsidP="00363FED">
      <w:pPr>
        <w:contextualSpacing/>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 No presenten la Cuenta Pública en el plazo establecido en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 Los que no presenten la Cuenta Pública en los términos de la Ley General;</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c).- Los que presenten la Cuenta Pública en forma incompleta o sin ajustarse a los formatos autorizados para ese efecto;</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d).- Los que no rindan los avances de gestión señalados en el artículo 9 de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 Los que no den cumplimiento a lo dispuesto por el artículo 40 de esta ley.</w:t>
      </w:r>
    </w:p>
    <w:p w:rsidR="00BA0C80" w:rsidRPr="00AF7743" w:rsidRDefault="00BA0C80"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rsidR="00DF1AB7" w:rsidRPr="00AF7743" w:rsidRDefault="00DF1AB7" w:rsidP="00363FED">
      <w:pPr>
        <w:autoSpaceDE w:val="0"/>
        <w:autoSpaceDN w:val="0"/>
        <w:adjustRightInd w:val="0"/>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hAnsi="Arial" w:cs="Arial"/>
          <w:iCs/>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subcontratado obra pública, administración de bienes o prestación de servicios mediante cualquier título legal con las entidades sujetas de fiscalización, cuando no entreguen la documentación e información que les requiera la Auditoría.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 xml:space="preserve">La determinación de las responsabilidades y la imposición de multas se </w:t>
      </w:r>
      <w:proofErr w:type="gramStart"/>
      <w:r w:rsidRPr="00AF7743">
        <w:rPr>
          <w:rFonts w:ascii="Arial" w:eastAsia="Calibri" w:hAnsi="Arial" w:cs="Arial"/>
          <w:sz w:val="20"/>
          <w:lang w:val="es-MX"/>
        </w:rPr>
        <w:t>sujetará</w:t>
      </w:r>
      <w:proofErr w:type="gramEnd"/>
      <w:r w:rsidRPr="00AF7743">
        <w:rPr>
          <w:rFonts w:ascii="Arial" w:eastAsia="Calibri" w:hAnsi="Arial" w:cs="Arial"/>
          <w:sz w:val="20"/>
          <w:lang w:val="es-MX"/>
        </w:rPr>
        <w:t xml:space="preserve"> al procedimiento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Se informará al citado de su derecho a ofrecer pruebas y alegar en la audiencia lo que a su derecho convenga, por sí o por medio de un defensor; apercibido de que de no comparecer sin justa causa, se tendrá por </w:t>
      </w:r>
      <w:proofErr w:type="spellStart"/>
      <w:r w:rsidRPr="00AF7743">
        <w:rPr>
          <w:rFonts w:ascii="Arial" w:eastAsia="Calibri" w:hAnsi="Arial" w:cs="Arial"/>
          <w:sz w:val="20"/>
          <w:lang w:val="es-MX"/>
        </w:rPr>
        <w:t>precluido</w:t>
      </w:r>
      <w:proofErr w:type="spellEnd"/>
      <w:r w:rsidRPr="00AF7743">
        <w:rPr>
          <w:rFonts w:ascii="Arial" w:eastAsia="Calibri" w:hAnsi="Arial" w:cs="Arial"/>
          <w:sz w:val="20"/>
          <w:lang w:val="es-MX"/>
        </w:rPr>
        <w:t xml:space="preserve"> su derecho para ofrecer pruebas o formular alegatos, se tendrán por ciertos los hechos que se le imputan y se resolverá con los elementos que obren en el expediente respectivo.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w:t>
      </w:r>
      <w:proofErr w:type="spellStart"/>
      <w:r w:rsidRPr="00AF7743">
        <w:rPr>
          <w:rFonts w:ascii="Arial" w:eastAsia="Calibri" w:hAnsi="Arial" w:cs="Arial"/>
          <w:sz w:val="20"/>
          <w:lang w:val="es-MX"/>
        </w:rPr>
        <w:t>desechamiento</w:t>
      </w:r>
      <w:proofErr w:type="spellEnd"/>
      <w:r w:rsidRPr="00AF7743">
        <w:rPr>
          <w:rFonts w:ascii="Arial" w:eastAsia="Calibri" w:hAnsi="Arial" w:cs="Arial"/>
          <w:sz w:val="20"/>
          <w:lang w:val="es-MX"/>
        </w:rPr>
        <w:t xml:space="preserve"> del recurso.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rsidR="00363FED" w:rsidRPr="00AF7743" w:rsidRDefault="00363FED" w:rsidP="00363FED">
      <w:pPr>
        <w:rPr>
          <w:rFonts w:ascii="Arial" w:hAnsi="Arial" w:cs="Arial"/>
          <w:b/>
          <w:sz w:val="20"/>
          <w:lang w:val="es-MX" w:eastAsia="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rsidR="00F75173" w:rsidRPr="00AF7743" w:rsidRDefault="00F75173"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El recurrente podrá desistirse expresamente del recurso antes de que se emita la resolución respectiva, en este caso, la Auditoría lo sobreseerá sin mayor trámite.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w:t>
      </w:r>
      <w:proofErr w:type="gramStart"/>
      <w:r w:rsidRPr="00AF7743">
        <w:rPr>
          <w:rFonts w:ascii="Arial" w:eastAsia="Calibri" w:hAnsi="Arial" w:cs="Arial"/>
          <w:sz w:val="20"/>
          <w:lang w:val="es-MX"/>
        </w:rPr>
        <w:t>interrumpirá</w:t>
      </w:r>
      <w:proofErr w:type="gramEnd"/>
      <w:r w:rsidRPr="00AF7743">
        <w:rPr>
          <w:rFonts w:ascii="Arial" w:eastAsia="Calibri" w:hAnsi="Arial" w:cs="Arial"/>
          <w:sz w:val="20"/>
          <w:lang w:val="es-MX"/>
        </w:rPr>
        <w:t xml:space="preserve"> a partir de que notifique el inicio del procedimiento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rsidR="00794D42" w:rsidRPr="009140F2" w:rsidRDefault="00794D42" w:rsidP="00794D42">
      <w:pPr>
        <w:jc w:val="both"/>
        <w:rPr>
          <w:rFonts w:ascii="Arial" w:eastAsia="Calibri" w:hAnsi="Arial" w:cs="Arial"/>
          <w:b/>
          <w:sz w:val="20"/>
          <w:lang w:val="es-MX"/>
        </w:rPr>
      </w:pPr>
    </w:p>
    <w:p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rsidR="00794D42" w:rsidRPr="009140F2"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rsidR="00794D42" w:rsidRPr="00AF7743"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Analizar y aprobar el Programa Anual de Auditoría dentro de los quince días posteriores a su presentación por parte de la Auditoria y conocer el programa estratégico que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rsidR="00794D42" w:rsidRPr="00AF7743" w:rsidRDefault="00794D42" w:rsidP="00794D42">
      <w:pPr>
        <w:contextualSpacing/>
        <w:jc w:val="both"/>
        <w:rPr>
          <w:rFonts w:ascii="Arial" w:eastAsia="Calibri" w:hAnsi="Arial" w:cs="Arial"/>
          <w:b/>
          <w:sz w:val="20"/>
          <w:lang w:val="es-MX"/>
        </w:rPr>
      </w:pPr>
    </w:p>
    <w:p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w:t>
      </w:r>
      <w:r w:rsidRPr="00AF7743">
        <w:rPr>
          <w:rFonts w:ascii="Arial" w:eastAsia="Calibri" w:hAnsi="Arial" w:cs="Arial"/>
          <w:sz w:val="20"/>
          <w:lang w:val="es-MX"/>
        </w:rPr>
        <w:t xml:space="preserve"> </w:t>
      </w:r>
      <w:r w:rsidR="00E1050E" w:rsidRPr="00E1050E">
        <w:rPr>
          <w:rFonts w:ascii="Arial" w:eastAsia="Calibri" w:hAnsi="Arial" w:cs="Arial"/>
          <w:sz w:val="20"/>
          <w:lang w:val="es-MX"/>
        </w:rPr>
        <w:t>Citar y, en su caso, requerir documentación o información específica, al Auditor Superior para conocer y profundizar en el estudio y análisis del Informe General e Informes Individuales de la fiscalización de las cuentas públicas, a fin de garantizar una evaluación basada en resultados acorde a la buena administración pública;</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E1050E" w:rsidP="00E1050E">
      <w:pPr>
        <w:pStyle w:val="Prrafodelista"/>
        <w:autoSpaceDE w:val="0"/>
        <w:autoSpaceDN w:val="0"/>
        <w:adjustRightInd w:val="0"/>
        <w:ind w:left="1288"/>
        <w:jc w:val="right"/>
        <w:rPr>
          <w:rFonts w:ascii="Arial" w:hAnsi="Arial" w:cs="Arial"/>
          <w:b/>
          <w:i/>
          <w:sz w:val="16"/>
          <w:szCs w:val="16"/>
          <w:lang w:val="es-MX"/>
        </w:rPr>
      </w:pPr>
      <w:hyperlink r:id="rId11" w:history="1">
        <w:r w:rsidRPr="001D3D6A">
          <w:rPr>
            <w:rStyle w:val="Hipervnculo"/>
            <w:rFonts w:ascii="Arial" w:hAnsi="Arial" w:cs="Arial"/>
            <w:b/>
            <w:i/>
            <w:sz w:val="16"/>
            <w:szCs w:val="16"/>
            <w:lang w:val="es-MX"/>
          </w:rPr>
          <w:t>https://po.tamaulipas.gob.mx/wp-content/uploads/2023/05/cxlviii-53-030523.pdf</w:t>
        </w:r>
      </w:hyperlink>
    </w:p>
    <w:p w:rsidR="00E1050E" w:rsidRPr="00AF7743" w:rsidRDefault="00E1050E" w:rsidP="00794D42">
      <w:pPr>
        <w:contextualSpacing/>
        <w:jc w:val="both"/>
        <w:rPr>
          <w:rFonts w:ascii="Arial" w:eastAsia="Calibri" w:hAnsi="Arial" w:cs="Arial"/>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Recibir y opinar sobre el proyecto de presupuesto anual de la Auditoría y turnarlo a la Junta de Coordinación Política del Congreso para ser incluido debidamente identificado en el anteproyecto de Presupuesto de Egresos del Poder Legislativo para el siguiente ejercicio fiscal, así como analizar el informe anual de su ejercicio;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rsidR="00A77EB6" w:rsidRPr="00AF7743" w:rsidRDefault="00A77EB6" w:rsidP="00363FED">
      <w:pPr>
        <w:contextualSpacing/>
        <w:jc w:val="both"/>
        <w:rPr>
          <w:rFonts w:ascii="Arial" w:eastAsia="Calibri" w:hAnsi="Arial" w:cs="Arial"/>
          <w:sz w:val="20"/>
          <w:lang w:val="es-MX"/>
        </w:rPr>
      </w:pPr>
    </w:p>
    <w:p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w:t>
      </w:r>
      <w:r w:rsidR="00E1050E" w:rsidRPr="00E1050E">
        <w:rPr>
          <w:rFonts w:ascii="Arial" w:eastAsia="Calibri" w:hAnsi="Arial" w:cs="Arial"/>
          <w:sz w:val="20"/>
          <w:lang w:val="es-MX"/>
        </w:rPr>
        <w:t>Recibir de las entidades sujetas de fiscalización las quejas sobre los actos del Auditor que contravengan las disposiciones de esta ley;</w:t>
      </w:r>
    </w:p>
    <w:p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E1050E" w:rsidRPr="00E1050E" w:rsidRDefault="00E1050E" w:rsidP="00E1050E">
      <w:pPr>
        <w:pStyle w:val="Prrafodelista"/>
        <w:autoSpaceDE w:val="0"/>
        <w:autoSpaceDN w:val="0"/>
        <w:adjustRightInd w:val="0"/>
        <w:ind w:left="1288"/>
        <w:jc w:val="right"/>
        <w:rPr>
          <w:rFonts w:ascii="Arial" w:hAnsi="Arial" w:cs="Arial"/>
          <w:b/>
          <w:i/>
          <w:sz w:val="16"/>
          <w:szCs w:val="16"/>
          <w:lang w:val="es-MX"/>
        </w:rPr>
      </w:pPr>
      <w:hyperlink r:id="rId12" w:history="1">
        <w:r w:rsidRPr="001D3D6A">
          <w:rPr>
            <w:rStyle w:val="Hipervnculo"/>
            <w:rFonts w:ascii="Arial" w:hAnsi="Arial" w:cs="Arial"/>
            <w:b/>
            <w:i/>
            <w:sz w:val="16"/>
            <w:szCs w:val="16"/>
            <w:lang w:val="es-MX"/>
          </w:rPr>
          <w:t>https://po.tamaulipas.gob.mx/wp-content/uploads/2023/05/cxlviii-53-030523.pdf</w:t>
        </w:r>
      </w:hyperlink>
    </w:p>
    <w:p w:rsidR="00E1050E" w:rsidRPr="00AF7743" w:rsidRDefault="00E1050E" w:rsidP="00363FED">
      <w:pPr>
        <w:contextualSpacing/>
        <w:jc w:val="both"/>
        <w:rPr>
          <w:rFonts w:ascii="Arial" w:eastAsia="Calibri" w:hAnsi="Arial" w:cs="Arial"/>
          <w:sz w:val="20"/>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w:t>
      </w:r>
      <w:r w:rsidRPr="00621466">
        <w:rPr>
          <w:rFonts w:ascii="Arial" w:eastAsia="Calibri" w:hAnsi="Arial" w:cs="Arial"/>
          <w:sz w:val="20"/>
          <w:lang w:val="es-MX"/>
        </w:rPr>
        <w:t xml:space="preserve"> Tener acceso a los papeles de trabajo que se generen con motivo de las auditorías practicadas a las entidades fiscalizadas por la Auditoría Superior, a fin de garantizar una evaluación basada en resultados acorde a la buena administración pública;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w:t>
      </w:r>
      <w:r>
        <w:rPr>
          <w:rFonts w:ascii="Arial" w:hAnsi="Arial" w:cs="Arial"/>
          <w:b/>
          <w:i/>
          <w:sz w:val="16"/>
          <w:szCs w:val="16"/>
          <w:lang w:val="es-MX"/>
        </w:rPr>
        <w:t xml:space="preserve">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621466" w:rsidP="00621466">
      <w:pPr>
        <w:pStyle w:val="Prrafodelista"/>
        <w:autoSpaceDE w:val="0"/>
        <w:autoSpaceDN w:val="0"/>
        <w:adjustRightInd w:val="0"/>
        <w:ind w:left="1288"/>
        <w:jc w:val="right"/>
        <w:rPr>
          <w:rFonts w:ascii="Arial" w:hAnsi="Arial" w:cs="Arial"/>
          <w:b/>
          <w:i/>
          <w:sz w:val="16"/>
          <w:szCs w:val="16"/>
          <w:lang w:val="es-MX"/>
        </w:rPr>
      </w:pPr>
      <w:hyperlink r:id="rId13" w:history="1">
        <w:r w:rsidRPr="001D3D6A">
          <w:rPr>
            <w:rStyle w:val="Hipervnculo"/>
            <w:rFonts w:ascii="Arial" w:hAnsi="Arial" w:cs="Arial"/>
            <w:b/>
            <w:i/>
            <w:sz w:val="16"/>
            <w:szCs w:val="16"/>
            <w:lang w:val="es-MX"/>
          </w:rPr>
          <w:t>https://po.tamaulipas.gob.mx/wp-content/uploads/2023/05/cxlviii-53-030523.pdf</w:t>
        </w:r>
      </w:hyperlink>
    </w:p>
    <w:p w:rsidR="00621466" w:rsidRDefault="00621466" w:rsidP="00363FED">
      <w:pPr>
        <w:contextualSpacing/>
        <w:jc w:val="both"/>
        <w:rPr>
          <w:rFonts w:ascii="Arial" w:eastAsia="Calibri" w:hAnsi="Arial" w:cs="Arial"/>
          <w:sz w:val="20"/>
          <w:lang w:val="es-MX"/>
        </w:rPr>
      </w:pPr>
    </w:p>
    <w:p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XI.</w:t>
      </w:r>
      <w:r w:rsidRPr="00621466">
        <w:rPr>
          <w:rFonts w:ascii="Arial" w:eastAsia="Calibri" w:hAnsi="Arial" w:cs="Arial"/>
          <w:sz w:val="20"/>
          <w:lang w:val="es-MX"/>
        </w:rPr>
        <w:t xml:space="preserve"> Revisar la gestión financiera de la Auditoría Superior del Estado, así como el cumplimiento de los objetivos contenidos en los Programas aprobados en el Presupuesto de Egresos del ejercicio fiscal correspondiente, por tanto podrá ordenar y efectuar auditorías, inspecciones o visitas a las diversas unidades administrativas que integran la Auditoría Superior del Estado, cumpliendo con las formalidades legales por conducto del personal del Congreso que comisione o, a través de servicios de auditoría externos, con la finalidad de verificar que los recursos públicos que por cualquier concepto hubieren recaudado, manejado, administrado o ejercido, se hayan realizado conforme a los programas y montos autorizados, con estricto apego a las disposiciones jurídicas aplicables, así como para verificar el cumplimiento de los objetivos de la fiscalización a que alude la Constitución Política local.</w:t>
      </w:r>
    </w:p>
    <w:p w:rsidR="00621466" w:rsidRDefault="00621466" w:rsidP="00363FED">
      <w:pPr>
        <w:contextualSpacing/>
        <w:jc w:val="both"/>
        <w:rPr>
          <w:rFonts w:ascii="Arial" w:eastAsia="Calibri" w:hAnsi="Arial" w:cs="Arial"/>
          <w:sz w:val="20"/>
          <w:lang w:val="es-MX"/>
        </w:rPr>
      </w:pPr>
    </w:p>
    <w:p w:rsidR="00A77EB6" w:rsidRPr="00621466" w:rsidRDefault="00621466" w:rsidP="00363FED">
      <w:pPr>
        <w:contextualSpacing/>
        <w:jc w:val="both"/>
        <w:rPr>
          <w:rFonts w:ascii="Arial" w:eastAsia="Calibri" w:hAnsi="Arial" w:cs="Arial"/>
          <w:sz w:val="20"/>
          <w:lang w:val="es-MX"/>
        </w:rPr>
      </w:pPr>
      <w:r w:rsidRPr="00621466">
        <w:rPr>
          <w:rFonts w:ascii="Arial" w:eastAsia="Calibri" w:hAnsi="Arial" w:cs="Arial"/>
          <w:sz w:val="20"/>
          <w:lang w:val="es-MX"/>
        </w:rPr>
        <w:t>El desahogo de los procedimientos disciplinarios para la imposición de las sanciones, derivadas de las responsabilidades por faltas no graves en los términos de la legislación en materia de responsabilidades administrativas vigentes en el Estado, que en su caso se deriven de dicha fiscalización, se realizará por el órgano Interno de Control del Congreso en apoyo a la Comisión; y</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621466" w:rsidP="00621466">
      <w:pPr>
        <w:pStyle w:val="Prrafodelista"/>
        <w:autoSpaceDE w:val="0"/>
        <w:autoSpaceDN w:val="0"/>
        <w:adjustRightInd w:val="0"/>
        <w:ind w:left="1288"/>
        <w:jc w:val="right"/>
        <w:rPr>
          <w:rFonts w:ascii="Arial" w:hAnsi="Arial" w:cs="Arial"/>
          <w:b/>
          <w:i/>
          <w:sz w:val="16"/>
          <w:szCs w:val="16"/>
          <w:lang w:val="es-MX"/>
        </w:rPr>
      </w:pPr>
      <w:hyperlink r:id="rId14" w:history="1">
        <w:r w:rsidRPr="001D3D6A">
          <w:rPr>
            <w:rStyle w:val="Hipervnculo"/>
            <w:rFonts w:ascii="Arial" w:hAnsi="Arial" w:cs="Arial"/>
            <w:b/>
            <w:i/>
            <w:sz w:val="16"/>
            <w:szCs w:val="16"/>
            <w:lang w:val="es-MX"/>
          </w:rPr>
          <w:t>https://po.tamaulipas.gob.mx/wp-content/uploads/2023/05/cxlviii-53-030523.pdf</w:t>
        </w:r>
      </w:hyperlink>
    </w:p>
    <w:p w:rsidR="00621466" w:rsidRPr="00AF7743" w:rsidRDefault="0062146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w:t>
      </w:r>
      <w:r w:rsidR="00E1050E">
        <w:rPr>
          <w:rFonts w:ascii="Arial" w:eastAsia="Calibri" w:hAnsi="Arial" w:cs="Arial"/>
          <w:b/>
          <w:sz w:val="20"/>
          <w:lang w:val="es-MX"/>
        </w:rPr>
        <w:t>II</w:t>
      </w:r>
      <w:r w:rsidRPr="00AF7743">
        <w:rPr>
          <w:rFonts w:ascii="Arial" w:eastAsia="Calibri" w:hAnsi="Arial" w:cs="Arial"/>
          <w:b/>
          <w:sz w:val="20"/>
          <w:lang w:val="es-MX"/>
        </w:rPr>
        <w:t>.</w:t>
      </w:r>
      <w:r w:rsidRPr="00AF7743">
        <w:rPr>
          <w:rFonts w:ascii="Arial" w:eastAsia="Calibri" w:hAnsi="Arial" w:cs="Arial"/>
          <w:sz w:val="20"/>
          <w:lang w:val="es-MX"/>
        </w:rPr>
        <w:t xml:space="preserve"> Las demás que establezcan esta ley y demás disposiciones legales aplicables. </w:t>
      </w:r>
    </w:p>
    <w:p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w:t>
      </w:r>
      <w:r>
        <w:rPr>
          <w:rFonts w:ascii="Arial" w:hAnsi="Arial" w:cs="Arial"/>
          <w:b/>
          <w:i/>
          <w:sz w:val="16"/>
          <w:szCs w:val="16"/>
          <w:lang w:val="es-MX"/>
        </w:rPr>
        <w:t>Recorrida (antes Fracción X)</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621466" w:rsidRPr="00E1050E" w:rsidRDefault="00621466" w:rsidP="00621466">
      <w:pPr>
        <w:pStyle w:val="Prrafodelista"/>
        <w:autoSpaceDE w:val="0"/>
        <w:autoSpaceDN w:val="0"/>
        <w:adjustRightInd w:val="0"/>
        <w:ind w:left="1288"/>
        <w:jc w:val="right"/>
        <w:rPr>
          <w:rFonts w:ascii="Arial" w:hAnsi="Arial" w:cs="Arial"/>
          <w:b/>
          <w:i/>
          <w:sz w:val="16"/>
          <w:szCs w:val="16"/>
          <w:lang w:val="es-MX"/>
        </w:rPr>
      </w:pPr>
      <w:hyperlink r:id="rId15" w:history="1">
        <w:r w:rsidRPr="001D3D6A">
          <w:rPr>
            <w:rStyle w:val="Hipervnculo"/>
            <w:rFonts w:ascii="Arial" w:hAnsi="Arial" w:cs="Arial"/>
            <w:b/>
            <w:i/>
            <w:sz w:val="16"/>
            <w:szCs w:val="16"/>
            <w:lang w:val="es-MX"/>
          </w:rPr>
          <w:t>https://po.tamaulipas.gob.mx/wp-content/uploads/2023/05/cxlviii-53-030523.pdf</w:t>
        </w:r>
      </w:hyperlink>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B63F36" w:rsidRDefault="00363FED" w:rsidP="00363FED">
      <w:pPr>
        <w:contextualSpacing/>
        <w:jc w:val="center"/>
        <w:rPr>
          <w:rFonts w:ascii="Arial" w:eastAsia="Calibri" w:hAnsi="Arial" w:cs="Arial"/>
          <w:b/>
          <w:sz w:val="16"/>
          <w:lang w:val="es-MX"/>
        </w:rPr>
      </w:pPr>
    </w:p>
    <w:p w:rsidR="00363FED"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Conforme a lo previsto por el artículo 76, fracción IV, párrafo tercero de la Constitución, e</w:t>
      </w:r>
      <w:r w:rsidRPr="00AF7743">
        <w:rPr>
          <w:rFonts w:ascii="Arial" w:eastAsia="Calibri" w:hAnsi="Arial" w:cs="Arial"/>
          <w:iCs/>
          <w:sz w:val="20"/>
          <w:lang w:val="es-MX"/>
        </w:rPr>
        <w:t xml:space="preserve">l Congreso designará al Auditor por el voto de cuando menos las dos terceras partes de sus miembros presentes, a propuesta de la Junta de Coordinación Política del Congreso. </w:t>
      </w:r>
    </w:p>
    <w:p w:rsidR="00B63F36" w:rsidRPr="00B63F36" w:rsidRDefault="00B63F36" w:rsidP="00363FED">
      <w:pPr>
        <w:contextualSpacing/>
        <w:jc w:val="both"/>
        <w:rPr>
          <w:rFonts w:ascii="Arial" w:eastAsia="Calibri" w:hAnsi="Arial" w:cs="Arial"/>
          <w:iCs/>
          <w:sz w:val="16"/>
          <w:lang w:val="es-MX"/>
        </w:rPr>
      </w:pPr>
    </w:p>
    <w:p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rsidR="00B63F36" w:rsidRPr="00B63F36" w:rsidRDefault="00B63F36" w:rsidP="00363FED">
      <w:pPr>
        <w:contextualSpacing/>
        <w:jc w:val="both"/>
        <w:rPr>
          <w:rFonts w:ascii="Arial" w:eastAsia="Calibri" w:hAnsi="Arial" w:cs="Arial"/>
          <w:iCs/>
          <w:sz w:val="16"/>
          <w:lang w:val="es-MX"/>
        </w:rPr>
      </w:pPr>
    </w:p>
    <w:p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rsidR="00B63F36" w:rsidRPr="009140F2"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rsidR="00B63F36" w:rsidRPr="00B63F36"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B63F36" w:rsidRPr="009140F2"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r>
        <w:rPr>
          <w:rFonts w:ascii="Arial" w:hAnsi="Arial" w:cs="Arial"/>
          <w:sz w:val="20"/>
        </w:rPr>
        <w:t>Secretario de Estado federal o local</w:t>
      </w:r>
      <w:r w:rsidRPr="00B63F36">
        <w:rPr>
          <w:rFonts w:ascii="Arial" w:hAnsi="Arial" w:cs="Arial"/>
          <w:sz w:val="20"/>
        </w:rPr>
        <w:t xml:space="preserve">, Fiscal General de Justicia, senador, diputado federal o local, dirigente de algún partido político, ni haber sido postulado para cargo de elección popular durante los últimos tres años al día de su nombramiento; </w:t>
      </w:r>
    </w:p>
    <w:p w:rsidR="009140F2" w:rsidRPr="009140F2" w:rsidRDefault="009140F2" w:rsidP="00363FED">
      <w:pPr>
        <w:contextualSpacing/>
        <w:jc w:val="both"/>
        <w:rPr>
          <w:rFonts w:ascii="Arial" w:hAnsi="Arial" w:cs="Arial"/>
          <w:b/>
          <w:sz w:val="16"/>
        </w:rPr>
      </w:pPr>
    </w:p>
    <w:p w:rsidR="00B63F36" w:rsidRDefault="00B63F36" w:rsidP="00363FED">
      <w:pPr>
        <w:contextualSpacing/>
        <w:jc w:val="both"/>
        <w:rPr>
          <w:rFonts w:ascii="Arial" w:hAnsi="Arial" w:cs="Arial"/>
          <w:sz w:val="20"/>
        </w:rPr>
      </w:pPr>
      <w:r w:rsidRPr="00B63F36">
        <w:rPr>
          <w:rFonts w:ascii="Arial" w:hAnsi="Arial" w:cs="Arial"/>
          <w:b/>
          <w:sz w:val="20"/>
        </w:rPr>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rsidR="00B63F36" w:rsidRPr="009140F2" w:rsidRDefault="00B63F36" w:rsidP="00363FED">
      <w:pPr>
        <w:contextualSpacing/>
        <w:jc w:val="both"/>
        <w:rPr>
          <w:rFonts w:ascii="Arial" w:hAnsi="Arial" w:cs="Arial"/>
          <w:b/>
          <w:sz w:val="16"/>
        </w:rPr>
      </w:pPr>
    </w:p>
    <w:p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rsidR="00B07CD6" w:rsidRPr="009140F2" w:rsidRDefault="00B07CD6" w:rsidP="00363FED">
      <w:pPr>
        <w:contextualSpacing/>
        <w:jc w:val="both"/>
        <w:rPr>
          <w:rFonts w:ascii="Arial" w:hAnsi="Arial" w:cs="Arial"/>
          <w:sz w:val="16"/>
        </w:rPr>
      </w:pPr>
    </w:p>
    <w:p w:rsidR="00B07CD6" w:rsidRDefault="00B07CD6" w:rsidP="00363FED">
      <w:pPr>
        <w:contextualSpacing/>
        <w:jc w:val="both"/>
        <w:rPr>
          <w:rFonts w:ascii="Arial" w:hAnsi="Arial" w:cs="Arial"/>
          <w:sz w:val="20"/>
        </w:rPr>
      </w:pPr>
      <w:r w:rsidRPr="00B07CD6">
        <w:rPr>
          <w:rFonts w:ascii="Arial" w:hAnsi="Arial" w:cs="Arial"/>
          <w:b/>
          <w:sz w:val="20"/>
        </w:rPr>
        <w:t>VII.</w:t>
      </w:r>
      <w:r>
        <w:rPr>
          <w:rFonts w:ascii="Arial" w:hAnsi="Arial" w:cs="Arial"/>
          <w:sz w:val="20"/>
        </w:rPr>
        <w:t xml:space="preserve"> No haber sido inhabilitado para desempeñar un empleo, cargo o comisión en el servicio público, ni removido de algún cargo del sector público o privado por causa diferente a la renuncia.</w:t>
      </w:r>
    </w:p>
    <w:p w:rsidR="00B07CD6" w:rsidRDefault="00B07CD6" w:rsidP="00B07CD6">
      <w:pPr>
        <w:pStyle w:val="Prrafodelista"/>
        <w:jc w:val="right"/>
        <w:rPr>
          <w:rFonts w:ascii="Arial" w:hAnsi="Arial" w:cs="Arial"/>
          <w:b/>
          <w:i/>
          <w:kern w:val="28"/>
          <w:sz w:val="16"/>
          <w:lang w:val="es-MX"/>
        </w:rPr>
      </w:pPr>
      <w:r>
        <w:rPr>
          <w:rFonts w:ascii="Arial" w:hAnsi="Arial" w:cs="Arial"/>
          <w:b/>
          <w:i/>
          <w:kern w:val="28"/>
          <w:sz w:val="16"/>
          <w:lang w:val="es-MX"/>
        </w:rPr>
        <w:t>Fracciones adicionadas,</w:t>
      </w:r>
      <w:r w:rsidRPr="00BC52E9">
        <w:rPr>
          <w:rFonts w:ascii="Arial" w:hAnsi="Arial" w:cs="Arial"/>
          <w:b/>
          <w:i/>
          <w:kern w:val="28"/>
          <w:sz w:val="16"/>
          <w:lang w:val="es-MX"/>
        </w:rPr>
        <w:t xml:space="preserve">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07CD6" w:rsidRDefault="000A5EB3" w:rsidP="00B07CD6">
      <w:pPr>
        <w:pStyle w:val="Prrafodelista"/>
        <w:jc w:val="right"/>
        <w:rPr>
          <w:rFonts w:ascii="Arial" w:hAnsi="Arial" w:cs="Arial"/>
          <w:b/>
          <w:i/>
          <w:kern w:val="28"/>
          <w:sz w:val="16"/>
          <w:lang w:val="es-MX"/>
        </w:rPr>
      </w:pPr>
      <w:hyperlink r:id="rId16" w:history="1">
        <w:r w:rsidR="00B07CD6" w:rsidRPr="0060137E">
          <w:rPr>
            <w:rStyle w:val="Hipervnculo"/>
            <w:rFonts w:ascii="Arial" w:hAnsi="Arial" w:cs="Arial"/>
            <w:b/>
            <w:i/>
            <w:kern w:val="28"/>
            <w:sz w:val="16"/>
            <w:lang w:val="es-MX"/>
          </w:rPr>
          <w:t>https://po.tamaulipas.gob.mx/wp-content/uploads/2022/04/cxlvii-44-130422F.pdf</w:t>
        </w:r>
      </w:hyperlink>
    </w:p>
    <w:p w:rsidR="00B07CD6" w:rsidRPr="009140F2" w:rsidRDefault="00B07CD6" w:rsidP="00363FED">
      <w:pPr>
        <w:contextualSpacing/>
        <w:jc w:val="both"/>
        <w:rPr>
          <w:rFonts w:ascii="Arial" w:eastAsia="Calibri" w:hAnsi="Arial" w:cs="Arial"/>
          <w:sz w:val="16"/>
          <w:lang w:val="es-MX"/>
        </w:rPr>
      </w:pPr>
      <w:r>
        <w:rPr>
          <w:rFonts w:ascii="Arial" w:hAnsi="Arial" w:cs="Arial"/>
          <w:sz w:val="20"/>
        </w:rPr>
        <w:t xml:space="preserve">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rsidR="00363FED" w:rsidRPr="00F51FF6" w:rsidRDefault="00363FED" w:rsidP="00363FED">
      <w:pPr>
        <w:autoSpaceDE w:val="0"/>
        <w:autoSpaceDN w:val="0"/>
        <w:adjustRightInd w:val="0"/>
        <w:contextualSpacing/>
        <w:jc w:val="both"/>
        <w:rPr>
          <w:rFonts w:ascii="Arial" w:eastAsia="Calibri" w:hAnsi="Arial" w:cs="Arial"/>
          <w:iCs/>
          <w:sz w:val="16"/>
          <w:lang w:val="es-MX"/>
        </w:rPr>
      </w:pPr>
    </w:p>
    <w:p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rsidR="00363FED" w:rsidRPr="00F51FF6" w:rsidRDefault="00363FED" w:rsidP="00363FED">
      <w:pPr>
        <w:contextualSpacing/>
        <w:jc w:val="both"/>
        <w:rPr>
          <w:rFonts w:ascii="Arial" w:eastAsia="Calibri" w:hAnsi="Arial" w:cs="Arial"/>
          <w:b/>
          <w:sz w:val="16"/>
          <w:lang w:val="es-MX"/>
        </w:rPr>
      </w:pPr>
    </w:p>
    <w:p w:rsidR="00B7016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en receso el Congreso, la Comisión Permanente podrá convocar a un período extraordinario para que resuelva en torno a dicha remoción.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88.-</w:t>
      </w:r>
      <w:r w:rsidRPr="00AF7743">
        <w:rPr>
          <w:rFonts w:ascii="Arial" w:eastAsia="Calibri" w:hAnsi="Arial" w:cs="Arial"/>
          <w:sz w:val="20"/>
          <w:lang w:val="es-MX"/>
        </w:rPr>
        <w:t xml:space="preserve"> Durante el receso del Congreso, el Auditor Especial que corresponda conforme al Reglamento Interior de la Auditoría, ejercerá el cargo hasta en tanto se designe al Auditor en el siguiente período de sesiones.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89.-</w:t>
      </w:r>
      <w:r w:rsidRPr="00AF7743">
        <w:rPr>
          <w:rFonts w:ascii="Arial" w:eastAsia="Calibri" w:hAnsi="Arial" w:cs="Arial"/>
          <w:sz w:val="20"/>
          <w:lang w:val="es-MX"/>
        </w:rPr>
        <w:t xml:space="preserve"> El Auditor será suplido en sus ausencias temporales por los Auditores Especiales, en el orden que señale el Reglamento Interior de la Auditoría. En caso de falta definitiva, la Comisión dará cuenta al Congreso para que designe, en términos de esta ley, a quien ocupará la titularidad de la Auditoría.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rsidR="00B7016D" w:rsidRPr="009140F2" w:rsidRDefault="00B7016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rsidR="00B7016D" w:rsidRPr="009140F2" w:rsidRDefault="00B7016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rsidR="00363FED" w:rsidRPr="009140F2"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rsidR="008269E6" w:rsidRPr="009140F2" w:rsidRDefault="008269E6" w:rsidP="00363FED">
      <w:pPr>
        <w:contextualSpacing/>
        <w:jc w:val="both"/>
        <w:rPr>
          <w:rFonts w:ascii="Arial" w:eastAsia="Calibri" w:hAnsi="Arial" w:cs="Arial"/>
          <w:sz w:val="16"/>
          <w:lang w:val="es-MX"/>
        </w:rPr>
      </w:pPr>
    </w:p>
    <w:p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rsidR="008269E6" w:rsidRPr="009140F2"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rsidR="009140F2" w:rsidRPr="009140F2" w:rsidRDefault="009140F2"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rsidR="008269E6" w:rsidRPr="009140F2"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rsidR="008269E6" w:rsidRPr="00F51FF6" w:rsidRDefault="008269E6" w:rsidP="00363FED">
      <w:pPr>
        <w:contextualSpacing/>
        <w:jc w:val="both"/>
        <w:rPr>
          <w:rFonts w:ascii="Arial" w:eastAsia="Calibri" w:hAnsi="Arial" w:cs="Arial"/>
          <w:sz w:val="16"/>
          <w:lang w:val="es-MX"/>
        </w:rPr>
      </w:pPr>
    </w:p>
    <w:p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rsidR="00F51FF6" w:rsidRP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w:t>
      </w:r>
      <w:r w:rsidRPr="00AF7743">
        <w:rPr>
          <w:rFonts w:ascii="Arial" w:eastAsia="Calibri" w:hAnsi="Arial" w:cs="Arial"/>
          <w:sz w:val="20"/>
          <w:lang w:val="es-MX"/>
        </w:rPr>
        <w:lastRenderedPageBreak/>
        <w:t xml:space="preserve">proyectos de recomendaciones integrales en materia de fiscalización y control de recursos públicos, de prevención, control y disuasión de faltas administrativas y hechos de corrupción, por lo que hace a las causas que los generan;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rsidR="008269E6" w:rsidRPr="00F51FF6" w:rsidRDefault="008269E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De las atribuciones previstas a favor Auditor en esta ley, sólo las mencionadas en las fracciones II, IV, V, VI, VII, VIII, XIII, XIV, XV, XVIII, XIX, XX, XXI, XXIII, XXVII, y XXXIII de este artículo son de ejercicio exclusivo del Auditor y por tanto, no podrán ser delegadas.</w:t>
      </w:r>
    </w:p>
    <w:p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Directores y Titulares de Unidades, Auditores y demás servidores públicos que al efecto señale el Reglamento Interior de la Auditoría, de conformidad con el presupuesto autorizado. En dicho Reglamento se asignarán las facultades y atribuciones previstas en esta ley.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rsidR="009137BA" w:rsidRPr="00F51FF6" w:rsidRDefault="009137BA"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rsidR="00F51FF6" w:rsidRDefault="00F51FF6"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rsidR="00363FED" w:rsidRPr="00934263"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rsidR="00363FED" w:rsidRPr="00934263"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rsidR="00363FED" w:rsidRPr="00F51FF6" w:rsidRDefault="00363FED" w:rsidP="00363FED">
      <w:pPr>
        <w:contextualSpacing/>
        <w:jc w:val="both"/>
        <w:rPr>
          <w:rFonts w:ascii="Arial" w:eastAsia="Calibri" w:hAnsi="Arial" w:cs="Arial"/>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Directores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rsidR="00363FED" w:rsidRPr="00F51FF6" w:rsidRDefault="00363FED" w:rsidP="00363FED">
      <w:pPr>
        <w:contextualSpacing/>
        <w:jc w:val="both"/>
        <w:rPr>
          <w:rFonts w:ascii="Arial" w:eastAsia="Calibri" w:hAnsi="Arial" w:cs="Arial"/>
          <w:b/>
          <w:sz w:val="16"/>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rsidR="00363FED" w:rsidRPr="00AF7743" w:rsidRDefault="00363FED" w:rsidP="00363FED">
      <w:pPr>
        <w:contextualSpacing/>
        <w:jc w:val="center"/>
        <w:rPr>
          <w:rFonts w:ascii="Arial" w:eastAsia="Calibri" w:hAnsi="Arial" w:cs="Arial"/>
          <w:b/>
          <w:sz w:val="10"/>
          <w:szCs w:val="1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F51FF6" w:rsidRDefault="00363FED" w:rsidP="00363FED">
      <w:pPr>
        <w:contextualSpacing/>
        <w:jc w:val="center"/>
        <w:rPr>
          <w:rFonts w:ascii="Arial" w:eastAsia="Calibri" w:hAnsi="Arial" w:cs="Arial"/>
          <w:b/>
          <w:sz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el Auditor informar a la Comisión, así como a dicho Comité sobre las determinaciones que se tomen en relación con las propuestas relacionadas con el Programa Anual de Auditoría.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103.-</w:t>
      </w:r>
      <w:r w:rsidRPr="00AF7743">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rsidR="00F51FF6" w:rsidRDefault="00F51FF6"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863617">
      <w:pPr>
        <w:spacing w:after="80"/>
        <w:jc w:val="center"/>
        <w:rPr>
          <w:rFonts w:ascii="Arial" w:eastAsia="Calibri" w:hAnsi="Arial" w:cs="Arial"/>
          <w:b/>
          <w:sz w:val="20"/>
          <w:lang w:val="en-US"/>
        </w:rPr>
      </w:pPr>
      <w:r w:rsidRPr="00AF7743">
        <w:rPr>
          <w:rFonts w:ascii="Arial" w:eastAsia="Calibri" w:hAnsi="Arial" w:cs="Arial"/>
          <w:b/>
          <w:sz w:val="20"/>
          <w:lang w:val="en-US"/>
        </w:rPr>
        <w:lastRenderedPageBreak/>
        <w:t xml:space="preserve">T R A N S I T O R I O 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PRIMERO.</w:t>
      </w:r>
      <w:r w:rsidRPr="00AF7743">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SEGUNDO.</w:t>
      </w:r>
      <w:r w:rsidRPr="00AF7743">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TERCERO.</w:t>
      </w:r>
      <w:r w:rsidRPr="00AF7743">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CUARTO.</w:t>
      </w:r>
      <w:r w:rsidRPr="00AF7743">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QUINTO.</w:t>
      </w:r>
      <w:r w:rsidRPr="00AF7743">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363FED" w:rsidRPr="00AF7743" w:rsidRDefault="00363FED" w:rsidP="00363FED">
      <w:pPr>
        <w:contextualSpacing/>
        <w:jc w:val="both"/>
        <w:rPr>
          <w:rFonts w:ascii="Arial" w:eastAsia="Calibri" w:hAnsi="Arial" w:cs="Arial"/>
          <w:sz w:val="12"/>
          <w:szCs w:val="12"/>
          <w:lang w:val="es-MX"/>
        </w:rPr>
      </w:pPr>
    </w:p>
    <w:p w:rsidR="00BF4AF6"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 xml:space="preserve">ARTÍCULOS SEXTO.- </w:t>
      </w:r>
      <w:r w:rsidRPr="00AF7743">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363FED" w:rsidRPr="00AF7743" w:rsidRDefault="00363FED" w:rsidP="00363FED">
      <w:pPr>
        <w:jc w:val="both"/>
        <w:rPr>
          <w:rFonts w:ascii="Arial" w:hAnsi="Arial" w:cs="Arial"/>
          <w:sz w:val="12"/>
          <w:szCs w:val="12"/>
          <w:lang w:val="es-MX"/>
        </w:rPr>
      </w:pPr>
    </w:p>
    <w:p w:rsidR="00342435" w:rsidRPr="00AF7743" w:rsidRDefault="00342435" w:rsidP="004F05AB">
      <w:pPr>
        <w:jc w:val="both"/>
        <w:rPr>
          <w:rFonts w:ascii="Arial" w:hAnsi="Arial" w:cs="Arial"/>
          <w:spacing w:val="-4"/>
          <w:sz w:val="20"/>
          <w:lang w:val="es-ES_tradnl"/>
        </w:rPr>
      </w:pPr>
      <w:r w:rsidRPr="00AF7743">
        <w:rPr>
          <w:rFonts w:ascii="Arial" w:hAnsi="Arial" w:cs="Arial"/>
          <w:b/>
          <w:spacing w:val="-4"/>
          <w:sz w:val="20"/>
          <w:lang w:val="es-ES_tradnl"/>
        </w:rPr>
        <w:t xml:space="preserve">SALÓN DE SESIONES DEL CONGRESO DEL ESTADO LIBRE Y SOBERANO DE TAMAULIPAS.- Cd. Victoria, </w:t>
      </w:r>
      <w:proofErr w:type="spellStart"/>
      <w:r w:rsidRPr="00AF7743">
        <w:rPr>
          <w:rFonts w:ascii="Arial" w:hAnsi="Arial" w:cs="Arial"/>
          <w:b/>
          <w:spacing w:val="-4"/>
          <w:sz w:val="20"/>
          <w:lang w:val="es-ES_tradnl"/>
        </w:rPr>
        <w:t>Tam</w:t>
      </w:r>
      <w:proofErr w:type="spellEnd"/>
      <w:r w:rsidRPr="00AF7743">
        <w:rPr>
          <w:rFonts w:ascii="Arial" w:hAnsi="Arial" w:cs="Arial"/>
          <w:b/>
          <w:spacing w:val="-4"/>
          <w:sz w:val="20"/>
          <w:lang w:val="es-ES_tradnl"/>
        </w:rPr>
        <w:t xml:space="preserve">., a </w:t>
      </w:r>
      <w:r w:rsidR="00701AF4" w:rsidRPr="00AF7743">
        <w:rPr>
          <w:rFonts w:ascii="Arial" w:hAnsi="Arial" w:cs="Arial"/>
          <w:b/>
          <w:spacing w:val="-4"/>
          <w:sz w:val="20"/>
          <w:lang w:val="es-ES_tradnl"/>
        </w:rPr>
        <w:t>3</w:t>
      </w:r>
      <w:r w:rsidRPr="00AF7743">
        <w:rPr>
          <w:rFonts w:ascii="Arial" w:hAnsi="Arial" w:cs="Arial"/>
          <w:b/>
          <w:spacing w:val="-4"/>
          <w:sz w:val="20"/>
          <w:lang w:val="es-ES_tradnl"/>
        </w:rPr>
        <w:t xml:space="preserve">1 de </w:t>
      </w:r>
      <w:r w:rsidR="00701AF4" w:rsidRPr="00AF7743">
        <w:rPr>
          <w:rFonts w:ascii="Arial" w:hAnsi="Arial" w:cs="Arial"/>
          <w:b/>
          <w:spacing w:val="-4"/>
          <w:sz w:val="20"/>
          <w:lang w:val="es-ES_tradnl"/>
        </w:rPr>
        <w:t>mayo</w:t>
      </w:r>
      <w:r w:rsidRPr="00AF7743">
        <w:rPr>
          <w:rFonts w:ascii="Arial" w:hAnsi="Arial" w:cs="Arial"/>
          <w:b/>
          <w:spacing w:val="-4"/>
          <w:sz w:val="20"/>
          <w:lang w:val="es-ES_tradnl"/>
        </w:rPr>
        <w:t xml:space="preserve"> del año 2017.- DIPUTAD</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PRESIDENT</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w:t>
      </w:r>
      <w:r w:rsidR="00565520" w:rsidRPr="00AF7743">
        <w:rPr>
          <w:rFonts w:ascii="Arial" w:hAnsi="Arial" w:cs="Arial"/>
          <w:b/>
          <w:bCs/>
          <w:spacing w:val="-4"/>
          <w:sz w:val="20"/>
          <w:lang w:val="es-ES_tradnl"/>
        </w:rPr>
        <w:t>MARÍA DEL CARMEN TUÑÓN COSSÍO</w:t>
      </w:r>
      <w:r w:rsidRPr="00AF7743">
        <w:rPr>
          <w:rFonts w:ascii="Arial" w:hAnsi="Arial" w:cs="Arial"/>
          <w:b/>
          <w:bCs/>
          <w:spacing w:val="-4"/>
          <w:sz w:val="20"/>
          <w:lang w:val="es-ES_tradnl"/>
        </w:rPr>
        <w:t>.-</w:t>
      </w:r>
      <w:r w:rsidRPr="00AF7743">
        <w:rPr>
          <w:rFonts w:ascii="Arial" w:hAnsi="Arial" w:cs="Arial"/>
          <w:bCs/>
          <w:spacing w:val="-4"/>
          <w:sz w:val="20"/>
          <w:lang w:val="es-ES_tradnl"/>
        </w:rPr>
        <w:t xml:space="preserve"> Rúbrica.- </w:t>
      </w:r>
      <w:r w:rsidRPr="00AF7743">
        <w:rPr>
          <w:rFonts w:ascii="Arial" w:hAnsi="Arial" w:cs="Arial"/>
          <w:b/>
          <w:spacing w:val="-4"/>
          <w:sz w:val="20"/>
          <w:lang w:val="es-ES_tradnl"/>
        </w:rPr>
        <w:t xml:space="preserve">DIPUTADO SECRETARIO.- </w:t>
      </w:r>
      <w:r w:rsidRPr="00AF7743">
        <w:rPr>
          <w:rFonts w:ascii="Arial" w:hAnsi="Arial" w:cs="Arial"/>
          <w:b/>
          <w:bCs/>
          <w:spacing w:val="-4"/>
          <w:sz w:val="20"/>
          <w:lang w:val="es-ES_tradnl"/>
        </w:rPr>
        <w:t>VÍCTOR ADRIÁN MERAZ PADRÓN.-</w:t>
      </w:r>
      <w:r w:rsidRPr="00AF7743">
        <w:rPr>
          <w:rFonts w:ascii="Arial" w:hAnsi="Arial" w:cs="Arial"/>
          <w:b/>
          <w:spacing w:val="-4"/>
          <w:sz w:val="20"/>
          <w:lang w:val="es-ES_tradnl"/>
        </w:rPr>
        <w:t xml:space="preserve"> </w:t>
      </w:r>
      <w:r w:rsidRPr="00AF7743">
        <w:rPr>
          <w:rFonts w:ascii="Arial" w:hAnsi="Arial" w:cs="Arial"/>
          <w:bCs/>
          <w:spacing w:val="-4"/>
          <w:sz w:val="20"/>
          <w:lang w:val="es-ES_tradnl"/>
        </w:rPr>
        <w:t xml:space="preserve">Rúbrica.- </w:t>
      </w:r>
      <w:r w:rsidRPr="00AF7743">
        <w:rPr>
          <w:rFonts w:ascii="Arial" w:hAnsi="Arial" w:cs="Arial"/>
          <w:b/>
          <w:spacing w:val="-4"/>
          <w:sz w:val="20"/>
          <w:lang w:val="es-ES_tradnl"/>
        </w:rPr>
        <w:t>DIPUTADA SECRETARIA.-</w:t>
      </w:r>
      <w:r w:rsidR="00565520" w:rsidRPr="00AF7743">
        <w:rPr>
          <w:rFonts w:ascii="Arial" w:hAnsi="Arial" w:cs="Arial"/>
          <w:b/>
          <w:spacing w:val="-4"/>
          <w:sz w:val="20"/>
          <w:lang w:val="es-ES_tradnl"/>
        </w:rPr>
        <w:t xml:space="preserve"> </w:t>
      </w:r>
      <w:r w:rsidRPr="00AF7743">
        <w:rPr>
          <w:rFonts w:ascii="Arial" w:hAnsi="Arial" w:cs="Arial"/>
          <w:b/>
          <w:bCs/>
          <w:spacing w:val="-4"/>
          <w:sz w:val="20"/>
          <w:lang w:val="es-ES_tradnl"/>
        </w:rPr>
        <w:t xml:space="preserve">NANCY DELGADO NOLAZCO.- </w:t>
      </w:r>
      <w:r w:rsidRPr="00AF7743">
        <w:rPr>
          <w:rFonts w:ascii="Arial" w:hAnsi="Arial" w:cs="Arial"/>
          <w:bCs/>
          <w:spacing w:val="-4"/>
          <w:sz w:val="20"/>
          <w:lang w:val="es-ES_tradnl"/>
        </w:rPr>
        <w:t>Rúbrica.”</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Por tanto, mando se imprima, publique, circule y se le dé el debido cumplimiento.</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 xml:space="preserve">Dado en la residencia del Poder Ejecutivo, en Victoria, Capital del Estado de Tamaulipas, </w:t>
      </w:r>
      <w:r w:rsidR="009623D5" w:rsidRPr="00AF7743">
        <w:rPr>
          <w:rFonts w:ascii="Arial" w:hAnsi="Arial" w:cs="Arial"/>
          <w:bCs/>
          <w:spacing w:val="-4"/>
          <w:sz w:val="20"/>
          <w:lang w:val="es-ES_tradnl"/>
        </w:rPr>
        <w:t>al primer</w:t>
      </w:r>
      <w:r w:rsidRPr="00AF7743">
        <w:rPr>
          <w:rFonts w:ascii="Arial" w:hAnsi="Arial" w:cs="Arial"/>
          <w:bCs/>
          <w:spacing w:val="-4"/>
          <w:sz w:val="20"/>
          <w:lang w:val="es-ES_tradnl"/>
        </w:rPr>
        <w:t xml:space="preserve"> </w:t>
      </w:r>
      <w:r w:rsidR="009623D5" w:rsidRPr="00AF7743">
        <w:rPr>
          <w:rFonts w:ascii="Arial" w:hAnsi="Arial" w:cs="Arial"/>
          <w:bCs/>
          <w:spacing w:val="-4"/>
          <w:sz w:val="20"/>
          <w:lang w:val="es-ES_tradnl"/>
        </w:rPr>
        <w:t xml:space="preserve">día </w:t>
      </w:r>
      <w:r w:rsidRPr="00AF7743">
        <w:rPr>
          <w:rFonts w:ascii="Arial" w:hAnsi="Arial" w:cs="Arial"/>
          <w:bCs/>
          <w:spacing w:val="-4"/>
          <w:sz w:val="20"/>
          <w:lang w:val="es-ES_tradnl"/>
        </w:rPr>
        <w:t xml:space="preserve">del mes de </w:t>
      </w:r>
      <w:r w:rsidR="009623D5" w:rsidRPr="00AF7743">
        <w:rPr>
          <w:rFonts w:ascii="Arial" w:hAnsi="Arial" w:cs="Arial"/>
          <w:bCs/>
          <w:spacing w:val="-4"/>
          <w:sz w:val="20"/>
          <w:lang w:val="es-ES_tradnl"/>
        </w:rPr>
        <w:t>junio</w:t>
      </w:r>
      <w:r w:rsidRPr="00AF7743">
        <w:rPr>
          <w:rFonts w:ascii="Arial" w:hAnsi="Arial" w:cs="Arial"/>
          <w:bCs/>
          <w:spacing w:val="-4"/>
          <w:sz w:val="20"/>
          <w:lang w:val="es-ES_tradnl"/>
        </w:rPr>
        <w:t xml:space="preserve"> del año dos mil diecisiete.</w:t>
      </w:r>
    </w:p>
    <w:p w:rsidR="00342435" w:rsidRPr="00AF7743" w:rsidRDefault="00342435" w:rsidP="004F05AB">
      <w:pPr>
        <w:tabs>
          <w:tab w:val="left" w:pos="142"/>
          <w:tab w:val="left" w:pos="3261"/>
        </w:tabs>
        <w:jc w:val="both"/>
        <w:rPr>
          <w:rFonts w:ascii="Arial" w:hAnsi="Arial" w:cs="Arial"/>
          <w:b/>
          <w:bCs/>
          <w:spacing w:val="-4"/>
          <w:sz w:val="10"/>
          <w:szCs w:val="10"/>
          <w:lang w:val="es-ES_tradnl"/>
        </w:rPr>
      </w:pPr>
    </w:p>
    <w:p w:rsidR="008B71BF" w:rsidRPr="00AF7743" w:rsidRDefault="00342435" w:rsidP="00863617">
      <w:pPr>
        <w:tabs>
          <w:tab w:val="left" w:pos="142"/>
          <w:tab w:val="left" w:pos="3261"/>
        </w:tabs>
        <w:jc w:val="both"/>
        <w:rPr>
          <w:sz w:val="10"/>
          <w:szCs w:val="10"/>
          <w:lang w:val="es-ES_tradnl"/>
        </w:rPr>
      </w:pPr>
      <w:r w:rsidRPr="00AF7743">
        <w:rPr>
          <w:rFonts w:ascii="Arial" w:hAnsi="Arial" w:cs="Arial"/>
          <w:b/>
          <w:bCs/>
          <w:spacing w:val="-4"/>
          <w:sz w:val="20"/>
          <w:lang w:val="es-ES_tradnl"/>
        </w:rPr>
        <w:t>ATENTAMENTE</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EL GOBERNADOR CONSTITUCIONAL DEL ESTADO</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FRANCISCO JAVIER GARCÍA CABEZA DE VACA</w:t>
      </w:r>
      <w:r w:rsidRPr="00AF7743">
        <w:rPr>
          <w:rFonts w:ascii="Arial" w:hAnsi="Arial" w:cs="Arial"/>
          <w:bCs/>
          <w:spacing w:val="-4"/>
          <w:sz w:val="20"/>
          <w:lang w:val="es-ES_tradnl"/>
        </w:rPr>
        <w:t>.- Rúbrica.-</w:t>
      </w:r>
      <w:r w:rsidRPr="00AF7743">
        <w:rPr>
          <w:rFonts w:ascii="Arial" w:hAnsi="Arial" w:cs="Arial"/>
          <w:b/>
          <w:bCs/>
          <w:spacing w:val="-4"/>
          <w:sz w:val="20"/>
          <w:lang w:val="es-ES_tradnl"/>
        </w:rPr>
        <w:t xml:space="preserve"> EL SECRETARIO GENERAL DE GOBIERNO</w:t>
      </w:r>
      <w:r w:rsidRPr="00AF7743">
        <w:rPr>
          <w:rFonts w:ascii="Arial" w:hAnsi="Arial" w:cs="Arial"/>
          <w:bCs/>
          <w:spacing w:val="-4"/>
          <w:sz w:val="20"/>
          <w:lang w:val="es-ES_tradnl"/>
        </w:rPr>
        <w:t>.-</w:t>
      </w:r>
      <w:r w:rsidRPr="00AF7743">
        <w:rPr>
          <w:rFonts w:ascii="Arial" w:hAnsi="Arial" w:cs="Arial"/>
          <w:b/>
          <w:bCs/>
          <w:spacing w:val="-4"/>
          <w:sz w:val="20"/>
          <w:lang w:val="es-ES_tradnl"/>
        </w:rPr>
        <w:t xml:space="preserve"> CÉSAR AUGUSTO VERÁSTEGUI OSTOS</w:t>
      </w:r>
      <w:r w:rsidRPr="00AF7743">
        <w:rPr>
          <w:rFonts w:ascii="Arial" w:hAnsi="Arial" w:cs="Arial"/>
          <w:bCs/>
          <w:spacing w:val="-4"/>
          <w:sz w:val="20"/>
          <w:lang w:val="es-ES_tradnl"/>
        </w:rPr>
        <w:t>.- Rúbrica.</w:t>
      </w:r>
      <w:r w:rsidR="00A61FD9" w:rsidRPr="00AF7743">
        <w:rPr>
          <w:sz w:val="20"/>
          <w:lang w:val="es-ES_tradnl"/>
        </w:rPr>
        <w:br w:type="page"/>
      </w:r>
    </w:p>
    <w:p w:rsidR="00A159D9" w:rsidRDefault="00A159D9" w:rsidP="00A61FD9">
      <w:pPr>
        <w:tabs>
          <w:tab w:val="left" w:pos="8931"/>
        </w:tabs>
        <w:autoSpaceDE w:val="0"/>
        <w:autoSpaceDN w:val="0"/>
        <w:adjustRightInd w:val="0"/>
        <w:jc w:val="both"/>
        <w:rPr>
          <w:rFonts w:ascii="Arial" w:eastAsia="Calibri" w:hAnsi="Arial" w:cs="Arial"/>
          <w:b/>
          <w:sz w:val="20"/>
          <w:lang w:val="es-ES_tradnl"/>
        </w:rPr>
      </w:pPr>
      <w:bookmarkStart w:id="0" w:name="_GoBack"/>
      <w:bookmarkEnd w:id="0"/>
    </w:p>
    <w:p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rsidR="00A159D9" w:rsidRPr="00053108" w:rsidRDefault="00A159D9" w:rsidP="00A159D9">
      <w:pPr>
        <w:jc w:val="center"/>
        <w:rPr>
          <w:rFonts w:ascii="Arial" w:hAnsi="Arial" w:cs="Arial"/>
          <w:b/>
          <w:sz w:val="22"/>
          <w:szCs w:val="22"/>
          <w:lang w:val="es-ES_tradnl"/>
        </w:rPr>
      </w:pPr>
    </w:p>
    <w:p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A159D9" w:rsidRDefault="00A159D9" w:rsidP="00A159D9">
      <w:pPr>
        <w:rPr>
          <w:rFonts w:ascii="Arial" w:eastAsia="Calibri" w:hAnsi="Arial" w:cs="Arial"/>
          <w:b/>
          <w:sz w:val="20"/>
          <w:lang w:val="es-MX" w:eastAsia="en-US"/>
        </w:rPr>
      </w:pPr>
    </w:p>
    <w:p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A159D9">
      <w:pPr>
        <w:ind w:left="426"/>
        <w:rPr>
          <w:rFonts w:ascii="Arial" w:eastAsia="Calibri" w:hAnsi="Arial" w:cs="Arial"/>
          <w:b/>
          <w:sz w:val="20"/>
          <w:lang w:val="es-MX" w:eastAsia="en-US"/>
        </w:rPr>
      </w:pPr>
    </w:p>
    <w:p w:rsidR="002F59F6" w:rsidRPr="00053108" w:rsidRDefault="002F59F6" w:rsidP="002F59F6">
      <w:pPr>
        <w:jc w:val="center"/>
        <w:rPr>
          <w:rFonts w:ascii="Arial" w:hAnsi="Arial" w:cs="Arial"/>
          <w:b/>
          <w:sz w:val="22"/>
          <w:szCs w:val="22"/>
          <w:lang w:val="es-ES_tradnl"/>
        </w:rPr>
      </w:pPr>
    </w:p>
    <w:p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rsidR="002F59F6" w:rsidRDefault="002F59F6" w:rsidP="002F59F6">
      <w:pPr>
        <w:rPr>
          <w:rFonts w:ascii="Arial" w:eastAsia="Calibri" w:hAnsi="Arial" w:cs="Arial"/>
          <w:b/>
          <w:sz w:val="20"/>
          <w:lang w:val="es-MX" w:eastAsia="en-US"/>
        </w:rPr>
      </w:pPr>
    </w:p>
    <w:p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2F59F6">
      <w:pPr>
        <w:rPr>
          <w:rFonts w:ascii="Arial" w:eastAsia="Calibri" w:hAnsi="Arial" w:cs="Arial"/>
          <w:b/>
          <w:sz w:val="20"/>
          <w:lang w:val="es-MX" w:eastAsia="en-US"/>
        </w:rPr>
      </w:pPr>
    </w:p>
    <w:p w:rsidR="00D17F2D" w:rsidRDefault="00D17F2D" w:rsidP="00D17F2D">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w:t>
      </w:r>
      <w:r>
        <w:rPr>
          <w:rFonts w:ascii="Arial" w:eastAsia="Calibri" w:hAnsi="Arial" w:cs="Arial"/>
          <w:b/>
          <w:sz w:val="20"/>
          <w:lang w:val="es-MX" w:eastAsia="en-US"/>
        </w:rPr>
        <w:t>570</w:t>
      </w:r>
      <w:r>
        <w:rPr>
          <w:rFonts w:ascii="Arial" w:eastAsia="Calibri" w:hAnsi="Arial" w:cs="Arial"/>
          <w:b/>
          <w:sz w:val="20"/>
          <w:lang w:val="es-MX" w:eastAsia="en-US"/>
        </w:rPr>
        <w:t xml:space="preserve">, DEL </w:t>
      </w:r>
      <w:r>
        <w:rPr>
          <w:rFonts w:ascii="Arial" w:eastAsia="Calibri" w:hAnsi="Arial" w:cs="Arial"/>
          <w:b/>
          <w:sz w:val="20"/>
          <w:lang w:val="es-MX" w:eastAsia="en-US"/>
        </w:rPr>
        <w:t>26</w:t>
      </w:r>
      <w:r>
        <w:rPr>
          <w:rFonts w:ascii="Arial" w:eastAsia="Calibri" w:hAnsi="Arial" w:cs="Arial"/>
          <w:b/>
          <w:sz w:val="20"/>
          <w:lang w:val="es-MX" w:eastAsia="en-US"/>
        </w:rPr>
        <w:t xml:space="preserve"> DE </w:t>
      </w:r>
      <w:r>
        <w:rPr>
          <w:rFonts w:ascii="Arial" w:eastAsia="Calibri" w:hAnsi="Arial" w:cs="Arial"/>
          <w:b/>
          <w:sz w:val="20"/>
          <w:lang w:val="es-MX" w:eastAsia="en-US"/>
        </w:rPr>
        <w:t>ABRIL</w:t>
      </w:r>
      <w:r>
        <w:rPr>
          <w:rFonts w:ascii="Arial" w:eastAsia="Calibri" w:hAnsi="Arial" w:cs="Arial"/>
          <w:b/>
          <w:sz w:val="20"/>
          <w:lang w:val="es-MX" w:eastAsia="en-US"/>
        </w:rPr>
        <w:t xml:space="preserve"> DE </w:t>
      </w:r>
      <w:r>
        <w:rPr>
          <w:rFonts w:ascii="Arial" w:eastAsia="Calibri" w:hAnsi="Arial" w:cs="Arial"/>
          <w:b/>
          <w:sz w:val="20"/>
          <w:lang w:val="es-MX" w:eastAsia="en-US"/>
        </w:rPr>
        <w:t>2023</w:t>
      </w:r>
      <w:r>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53</w:t>
      </w:r>
      <w:r>
        <w:rPr>
          <w:rFonts w:ascii="Arial" w:eastAsia="Calibri" w:hAnsi="Arial" w:cs="Arial"/>
          <w:b/>
          <w:sz w:val="20"/>
          <w:lang w:val="es-MX" w:eastAsia="en-US"/>
        </w:rPr>
        <w:t xml:space="preserve">, DEL </w:t>
      </w:r>
      <w:r>
        <w:rPr>
          <w:rFonts w:ascii="Arial" w:eastAsia="Calibri" w:hAnsi="Arial" w:cs="Arial"/>
          <w:b/>
          <w:sz w:val="20"/>
          <w:lang w:val="es-MX" w:eastAsia="en-US"/>
        </w:rPr>
        <w:t>03</w:t>
      </w:r>
      <w:r>
        <w:rPr>
          <w:rFonts w:ascii="Arial" w:eastAsia="Calibri" w:hAnsi="Arial" w:cs="Arial"/>
          <w:b/>
          <w:sz w:val="20"/>
          <w:lang w:val="es-MX" w:eastAsia="en-US"/>
        </w:rPr>
        <w:t xml:space="preserve"> DE </w:t>
      </w:r>
      <w:r>
        <w:rPr>
          <w:rFonts w:ascii="Arial" w:eastAsia="Calibri" w:hAnsi="Arial" w:cs="Arial"/>
          <w:b/>
          <w:sz w:val="20"/>
          <w:lang w:val="es-MX" w:eastAsia="en-US"/>
        </w:rPr>
        <w:t>MAYO</w:t>
      </w:r>
      <w:r>
        <w:rPr>
          <w:rFonts w:ascii="Arial" w:eastAsia="Calibri" w:hAnsi="Arial" w:cs="Arial"/>
          <w:b/>
          <w:sz w:val="20"/>
          <w:lang w:val="es-MX" w:eastAsia="en-US"/>
        </w:rPr>
        <w:t xml:space="preserve"> DE </w:t>
      </w:r>
      <w:r>
        <w:rPr>
          <w:rFonts w:ascii="Arial" w:eastAsia="Calibri" w:hAnsi="Arial" w:cs="Arial"/>
          <w:b/>
          <w:sz w:val="20"/>
          <w:lang w:val="es-MX" w:eastAsia="en-US"/>
        </w:rPr>
        <w:t>2023</w:t>
      </w:r>
      <w:r>
        <w:rPr>
          <w:rFonts w:ascii="Arial" w:eastAsia="Calibri" w:hAnsi="Arial" w:cs="Arial"/>
          <w:b/>
          <w:sz w:val="20"/>
          <w:lang w:val="es-MX" w:eastAsia="en-US"/>
        </w:rPr>
        <w:t>.</w:t>
      </w:r>
    </w:p>
    <w:p w:rsidR="00D17F2D" w:rsidRDefault="00D17F2D" w:rsidP="00D17F2D">
      <w:pPr>
        <w:rPr>
          <w:rFonts w:ascii="Arial" w:eastAsia="Calibri" w:hAnsi="Arial" w:cs="Arial"/>
          <w:b/>
          <w:sz w:val="20"/>
          <w:lang w:val="es-MX" w:eastAsia="en-US"/>
        </w:rPr>
      </w:pPr>
    </w:p>
    <w:p w:rsidR="00D17F2D" w:rsidRPr="00D17F2D" w:rsidRDefault="00D17F2D" w:rsidP="00D17F2D">
      <w:pPr>
        <w:ind w:left="426"/>
        <w:rPr>
          <w:rFonts w:ascii="Arial" w:hAnsi="Arial" w:cs="Arial"/>
          <w:sz w:val="20"/>
        </w:rPr>
      </w:pPr>
      <w:r w:rsidRPr="001B0CF0">
        <w:rPr>
          <w:rFonts w:ascii="Arial" w:hAnsi="Arial" w:cs="Arial"/>
          <w:b/>
          <w:sz w:val="20"/>
        </w:rPr>
        <w:t xml:space="preserve">ARTÍCULO ÚNICO. </w:t>
      </w:r>
      <w:r w:rsidRPr="00D17F2D">
        <w:rPr>
          <w:rFonts w:ascii="Arial" w:hAnsi="Arial" w:cs="Arial"/>
          <w:sz w:val="20"/>
        </w:rPr>
        <w:t>El presente Decreto entrará en vigor el día siguiente al de su publicación en el Periódico Oficial del Estado.</w:t>
      </w:r>
    </w:p>
    <w:p w:rsidR="00D17F2D" w:rsidRDefault="00D17F2D" w:rsidP="002F59F6">
      <w:pPr>
        <w:rPr>
          <w:rFonts w:ascii="Arial" w:eastAsia="Calibri" w:hAnsi="Arial" w:cs="Arial"/>
          <w:b/>
          <w:sz w:val="20"/>
          <w:lang w:val="es-MX" w:eastAsia="en-US"/>
        </w:rPr>
      </w:pPr>
    </w:p>
    <w:p w:rsidR="002F59F6" w:rsidRPr="001B0CF0" w:rsidRDefault="002F59F6" w:rsidP="00A159D9">
      <w:pPr>
        <w:ind w:left="426"/>
        <w:rPr>
          <w:rFonts w:ascii="Arial" w:eastAsia="Calibri" w:hAnsi="Arial" w:cs="Arial"/>
          <w:b/>
          <w:sz w:val="20"/>
          <w:lang w:val="es-MX" w:eastAsia="en-US"/>
        </w:rPr>
      </w:pPr>
    </w:p>
    <w:p w:rsidR="00A159D9" w:rsidRDefault="00A159D9" w:rsidP="00A159D9">
      <w:pPr>
        <w:rPr>
          <w:rFonts w:ascii="Arial" w:eastAsia="Calibri" w:hAnsi="Arial" w:cs="Arial"/>
          <w:b/>
          <w:sz w:val="20"/>
          <w:lang w:val="es-MX" w:eastAsia="en-US"/>
        </w:rPr>
      </w:pPr>
    </w:p>
    <w:p w:rsidR="00A159D9" w:rsidRDefault="00A159D9">
      <w:pPr>
        <w:rPr>
          <w:rFonts w:ascii="Arial" w:eastAsia="Calibri" w:hAnsi="Arial" w:cs="Arial"/>
          <w:b/>
          <w:sz w:val="20"/>
          <w:lang w:val="es-ES_tradnl"/>
        </w:rPr>
      </w:pPr>
      <w:r>
        <w:rPr>
          <w:rFonts w:ascii="Arial" w:eastAsia="Calibri" w:hAnsi="Arial" w:cs="Arial"/>
          <w:b/>
          <w:sz w:val="20"/>
          <w:lang w:val="es-ES_tradnl"/>
        </w:rPr>
        <w:br w:type="page"/>
      </w:r>
    </w:p>
    <w:p w:rsidR="00A61FD9" w:rsidRPr="00AF7743" w:rsidRDefault="00A61FD9" w:rsidP="00A61FD9">
      <w:pPr>
        <w:tabs>
          <w:tab w:val="left" w:pos="8931"/>
        </w:tabs>
        <w:autoSpaceDE w:val="0"/>
        <w:autoSpaceDN w:val="0"/>
        <w:adjustRightInd w:val="0"/>
        <w:jc w:val="both"/>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rsidR="00953CE0" w:rsidRPr="00AF7743" w:rsidRDefault="00953CE0" w:rsidP="00953CE0">
      <w:pPr>
        <w:tabs>
          <w:tab w:val="left" w:pos="9214"/>
        </w:tabs>
        <w:autoSpaceDE w:val="0"/>
        <w:autoSpaceDN w:val="0"/>
        <w:adjustRightInd w:val="0"/>
        <w:jc w:val="both"/>
        <w:rPr>
          <w:rFonts w:ascii="Arial" w:hAnsi="Arial" w:cs="Arial"/>
          <w:bCs/>
          <w:sz w:val="20"/>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2C553B" w:rsidRPr="00AF7743" w:rsidRDefault="002C553B" w:rsidP="002C553B">
      <w:pPr>
        <w:contextualSpacing/>
        <w:jc w:val="both"/>
        <w:rPr>
          <w:rFonts w:ascii="Arial" w:eastAsia="Calibri" w:hAnsi="Arial" w:cs="Arial"/>
          <w:b/>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SEXTO.-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rsidR="008302B2" w:rsidRDefault="008302B2" w:rsidP="00C21A08">
      <w:pPr>
        <w:jc w:val="both"/>
        <w:rPr>
          <w:rFonts w:ascii="Arial" w:hAnsi="Arial" w:cs="Arial"/>
          <w:sz w:val="20"/>
        </w:rPr>
      </w:pPr>
    </w:p>
    <w:p w:rsidR="00CB6BE7" w:rsidRDefault="00CB6BE7" w:rsidP="00C21A08">
      <w:pPr>
        <w:jc w:val="both"/>
        <w:rPr>
          <w:rFonts w:ascii="Arial" w:hAnsi="Arial" w:cs="Arial"/>
          <w:sz w:val="20"/>
        </w:rPr>
      </w:pPr>
    </w:p>
    <w:p w:rsidR="00CB6BE7" w:rsidRPr="00053108" w:rsidRDefault="00CB6BE7" w:rsidP="00CB6BE7">
      <w:pPr>
        <w:autoSpaceDE w:val="0"/>
        <w:autoSpaceDN w:val="0"/>
        <w:adjustRightInd w:val="0"/>
        <w:jc w:val="both"/>
        <w:rPr>
          <w:rFonts w:ascii="Arial" w:hAnsi="Arial" w:cs="Arial"/>
          <w:spacing w:val="-4"/>
          <w:sz w:val="20"/>
          <w:lang w:eastAsia="es-MX"/>
        </w:rPr>
      </w:pPr>
    </w:p>
    <w:p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CB6BE7" w:rsidRPr="00053108" w:rsidRDefault="00CB6BE7" w:rsidP="00CB6BE7">
      <w:pPr>
        <w:widowControl w:val="0"/>
        <w:kinsoku w:val="0"/>
        <w:overflowPunct w:val="0"/>
        <w:jc w:val="both"/>
        <w:textAlignment w:val="baseline"/>
        <w:rPr>
          <w:rFonts w:ascii="Arial" w:hAnsi="Arial" w:cs="Arial"/>
          <w:bCs/>
          <w:sz w:val="20"/>
        </w:rPr>
      </w:pPr>
    </w:p>
    <w:p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CB6BE7" w:rsidRDefault="009D1443" w:rsidP="00CB6BE7">
      <w:pPr>
        <w:ind w:left="567"/>
        <w:jc w:val="both"/>
        <w:rPr>
          <w:rFonts w:ascii="Arial" w:hAnsi="Arial" w:cs="Arial"/>
          <w:sz w:val="20"/>
        </w:rPr>
      </w:pPr>
      <w:r w:rsidRPr="009D1443">
        <w:rPr>
          <w:rFonts w:ascii="Arial" w:hAnsi="Arial" w:cs="Arial"/>
          <w:sz w:val="20"/>
        </w:rPr>
        <w:t xml:space="preserve">Se </w:t>
      </w:r>
      <w:r w:rsidRPr="000A5EB3">
        <w:rPr>
          <w:rFonts w:ascii="Arial" w:hAnsi="Arial" w:cs="Arial"/>
          <w:b/>
          <w:i/>
          <w:sz w:val="20"/>
        </w:rPr>
        <w:t>reforma</w:t>
      </w:r>
      <w:r w:rsidRPr="009D1443">
        <w:rPr>
          <w:rFonts w:ascii="Arial" w:hAnsi="Arial" w:cs="Arial"/>
          <w:sz w:val="20"/>
        </w:rPr>
        <w:t xml:space="preserve"> el artículo 9 y se </w:t>
      </w:r>
      <w:r w:rsidRPr="000A5EB3">
        <w:rPr>
          <w:rFonts w:ascii="Arial" w:hAnsi="Arial" w:cs="Arial"/>
          <w:b/>
          <w:i/>
          <w:sz w:val="20"/>
        </w:rPr>
        <w:t>adiciona</w:t>
      </w:r>
      <w:r w:rsidRPr="009D1443">
        <w:rPr>
          <w:rFonts w:ascii="Arial" w:hAnsi="Arial" w:cs="Arial"/>
          <w:sz w:val="20"/>
        </w:rPr>
        <w:t xml:space="preserve"> el artículo 11 Bis</w:t>
      </w:r>
      <w:r>
        <w:rPr>
          <w:rFonts w:ascii="Arial" w:hAnsi="Arial" w:cs="Arial"/>
          <w:sz w:val="20"/>
        </w:rPr>
        <w:t>.</w:t>
      </w:r>
    </w:p>
    <w:p w:rsidR="002F59F6" w:rsidRPr="009D1443" w:rsidRDefault="002F59F6" w:rsidP="00CB6BE7">
      <w:pPr>
        <w:ind w:left="567"/>
        <w:jc w:val="both"/>
        <w:rPr>
          <w:rFonts w:ascii="Arial" w:hAnsi="Arial" w:cs="Arial"/>
          <w:sz w:val="20"/>
        </w:rPr>
      </w:pPr>
    </w:p>
    <w:p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rsidR="002F59F6"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w:t>
      </w:r>
      <w:r w:rsidRPr="000A5EB3">
        <w:rPr>
          <w:rFonts w:ascii="Arial" w:hAnsi="Arial" w:cs="Arial"/>
          <w:b/>
          <w:i/>
          <w:sz w:val="20"/>
        </w:rPr>
        <w:t>reforma</w:t>
      </w:r>
      <w:r w:rsidRPr="009D1443">
        <w:rPr>
          <w:rFonts w:ascii="Arial" w:hAnsi="Arial" w:cs="Arial"/>
          <w:sz w:val="20"/>
        </w:rPr>
        <w:t xml:space="preserve"> el </w:t>
      </w:r>
      <w:r>
        <w:rPr>
          <w:rFonts w:ascii="Arial" w:hAnsi="Arial" w:cs="Arial"/>
          <w:sz w:val="20"/>
        </w:rPr>
        <w:t xml:space="preserve">párrafo segundo y se </w:t>
      </w:r>
      <w:r w:rsidRPr="000A5EB3">
        <w:rPr>
          <w:rFonts w:ascii="Arial" w:hAnsi="Arial" w:cs="Arial"/>
          <w:b/>
          <w:i/>
          <w:sz w:val="20"/>
        </w:rPr>
        <w:t>adicionan</w:t>
      </w:r>
      <w:r>
        <w:rPr>
          <w:rFonts w:ascii="Arial" w:hAnsi="Arial" w:cs="Arial"/>
          <w:sz w:val="20"/>
        </w:rPr>
        <w:t xml:space="preserve"> las fracciones I, II, III, IV, V, VI, VII </w:t>
      </w:r>
      <w:proofErr w:type="gramStart"/>
      <w:r>
        <w:rPr>
          <w:rFonts w:ascii="Arial" w:hAnsi="Arial" w:cs="Arial"/>
          <w:sz w:val="20"/>
        </w:rPr>
        <w:t>a</w:t>
      </w:r>
      <w:proofErr w:type="gramEnd"/>
      <w:r>
        <w:rPr>
          <w:rFonts w:ascii="Arial" w:hAnsi="Arial" w:cs="Arial"/>
          <w:sz w:val="20"/>
        </w:rPr>
        <w:t xml:space="preserve"> dicho párrafo del artículo 86.</w:t>
      </w:r>
    </w:p>
    <w:p w:rsidR="000A5EB3" w:rsidRDefault="000A5EB3" w:rsidP="002F59F6">
      <w:pPr>
        <w:ind w:left="567"/>
        <w:jc w:val="both"/>
        <w:rPr>
          <w:rFonts w:ascii="Arial" w:hAnsi="Arial" w:cs="Arial"/>
          <w:sz w:val="20"/>
        </w:rPr>
      </w:pPr>
    </w:p>
    <w:p w:rsidR="000A5EB3" w:rsidRPr="00053108" w:rsidRDefault="000A5EB3" w:rsidP="000A5EB3">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65-570</w:t>
      </w:r>
      <w:r w:rsidRPr="00053108">
        <w:rPr>
          <w:rFonts w:ascii="Arial" w:hAnsi="Arial"/>
          <w:sz w:val="20"/>
          <w:lang w:val="es-MX"/>
        </w:rPr>
        <w:t xml:space="preserve">, del </w:t>
      </w:r>
      <w:r>
        <w:rPr>
          <w:rFonts w:ascii="Arial" w:hAnsi="Arial"/>
          <w:sz w:val="20"/>
          <w:lang w:val="es-MX"/>
        </w:rPr>
        <w:t>26 de abril de 2023.</w:t>
      </w:r>
    </w:p>
    <w:p w:rsidR="000A5EB3" w:rsidRPr="00053108" w:rsidRDefault="000A5EB3" w:rsidP="000A5EB3">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53</w:t>
      </w:r>
      <w:r w:rsidRPr="00053108">
        <w:rPr>
          <w:rFonts w:ascii="Arial" w:eastAsia="Calibri" w:hAnsi="Arial" w:cs="Arial"/>
          <w:sz w:val="20"/>
          <w:lang w:val="es-MX" w:eastAsia="en-US"/>
        </w:rPr>
        <w:t xml:space="preserve">, del </w:t>
      </w:r>
      <w:r>
        <w:rPr>
          <w:rFonts w:ascii="Arial" w:eastAsia="Calibri" w:hAnsi="Arial" w:cs="Arial"/>
          <w:sz w:val="20"/>
          <w:lang w:val="es-MX" w:eastAsia="en-US"/>
        </w:rPr>
        <w:t>03</w:t>
      </w:r>
      <w:r w:rsidRPr="00053108">
        <w:rPr>
          <w:rFonts w:ascii="Arial" w:eastAsia="Calibri" w:hAnsi="Arial" w:cs="Arial"/>
          <w:sz w:val="20"/>
          <w:lang w:val="es-MX" w:eastAsia="en-US"/>
        </w:rPr>
        <w:t xml:space="preserve"> de </w:t>
      </w:r>
      <w:r>
        <w:rPr>
          <w:rFonts w:ascii="Arial" w:eastAsia="Calibri" w:hAnsi="Arial" w:cs="Arial"/>
          <w:sz w:val="20"/>
          <w:lang w:val="es-MX" w:eastAsia="en-US"/>
        </w:rPr>
        <w:t>mayo</w:t>
      </w:r>
      <w:r w:rsidRPr="00053108">
        <w:rPr>
          <w:rFonts w:ascii="Arial" w:eastAsia="Calibri" w:hAnsi="Arial" w:cs="Arial"/>
          <w:sz w:val="20"/>
          <w:lang w:val="es-MX" w:eastAsia="en-US"/>
        </w:rPr>
        <w:t xml:space="preserve"> de </w:t>
      </w:r>
      <w:r>
        <w:rPr>
          <w:rFonts w:ascii="Arial" w:eastAsia="Calibri" w:hAnsi="Arial" w:cs="Arial"/>
          <w:sz w:val="20"/>
          <w:lang w:val="es-MX" w:eastAsia="en-US"/>
        </w:rPr>
        <w:t>2023</w:t>
      </w:r>
      <w:r w:rsidRPr="00053108">
        <w:rPr>
          <w:rFonts w:ascii="Arial" w:eastAsia="Calibri" w:hAnsi="Arial" w:cs="Arial"/>
          <w:sz w:val="20"/>
          <w:lang w:val="es-MX" w:eastAsia="en-US"/>
        </w:rPr>
        <w:t>.</w:t>
      </w:r>
    </w:p>
    <w:p w:rsidR="000A5EB3" w:rsidRDefault="000A5EB3" w:rsidP="000A5EB3">
      <w:pPr>
        <w:ind w:left="567"/>
        <w:jc w:val="both"/>
        <w:rPr>
          <w:rFonts w:ascii="Arial" w:hAnsi="Arial" w:cs="Arial"/>
          <w:sz w:val="20"/>
        </w:rPr>
      </w:pPr>
      <w:r w:rsidRPr="000A5EB3">
        <w:rPr>
          <w:rFonts w:ascii="Arial" w:hAnsi="Arial" w:cs="Arial"/>
          <w:b/>
          <w:sz w:val="20"/>
        </w:rPr>
        <w:t>ARTÍCULO ÚNICO.</w:t>
      </w:r>
      <w:r w:rsidRPr="000A5EB3">
        <w:rPr>
          <w:rFonts w:ascii="Arial" w:hAnsi="Arial" w:cs="Arial"/>
          <w:sz w:val="20"/>
        </w:rPr>
        <w:t xml:space="preserve"> Se </w:t>
      </w:r>
      <w:r w:rsidRPr="000A5EB3">
        <w:rPr>
          <w:rFonts w:ascii="Arial" w:hAnsi="Arial" w:cs="Arial"/>
          <w:b/>
          <w:i/>
          <w:sz w:val="20"/>
        </w:rPr>
        <w:t>reforma</w:t>
      </w:r>
      <w:r w:rsidRPr="000A5EB3">
        <w:rPr>
          <w:rFonts w:ascii="Arial" w:hAnsi="Arial" w:cs="Arial"/>
          <w:sz w:val="20"/>
        </w:rPr>
        <w:t xml:space="preserve"> el artículo 84, fracciones V y IX; y se </w:t>
      </w:r>
      <w:r w:rsidRPr="000A5EB3">
        <w:rPr>
          <w:rFonts w:ascii="Arial" w:hAnsi="Arial" w:cs="Arial"/>
          <w:b/>
          <w:i/>
          <w:sz w:val="20"/>
        </w:rPr>
        <w:t>adicionan</w:t>
      </w:r>
      <w:r w:rsidRPr="000A5EB3">
        <w:rPr>
          <w:rFonts w:ascii="Arial" w:hAnsi="Arial" w:cs="Arial"/>
          <w:sz w:val="20"/>
        </w:rPr>
        <w:t xml:space="preserve"> una fracción VI Bis al artículo 4; y</w:t>
      </w:r>
      <w:r>
        <w:rPr>
          <w:rFonts w:ascii="Arial" w:hAnsi="Arial" w:cs="Arial"/>
          <w:sz w:val="20"/>
        </w:rPr>
        <w:t xml:space="preserve"> </w:t>
      </w:r>
      <w:r w:rsidRPr="000A5EB3">
        <w:rPr>
          <w:rFonts w:ascii="Arial" w:hAnsi="Arial" w:cs="Arial"/>
          <w:sz w:val="20"/>
        </w:rPr>
        <w:t>las fracciones X y XI, recorriéndose la actual fracción X para ser XII del artículo 84</w:t>
      </w:r>
    </w:p>
    <w:p w:rsidR="000A5EB3" w:rsidRDefault="000A5EB3" w:rsidP="002F59F6">
      <w:pPr>
        <w:ind w:left="567"/>
        <w:jc w:val="both"/>
        <w:rPr>
          <w:rFonts w:ascii="Arial" w:hAnsi="Arial" w:cs="Arial"/>
          <w:sz w:val="20"/>
        </w:rPr>
      </w:pPr>
    </w:p>
    <w:p w:rsidR="000A5EB3" w:rsidRDefault="000A5EB3" w:rsidP="002F59F6">
      <w:pPr>
        <w:ind w:left="567"/>
        <w:jc w:val="both"/>
        <w:rPr>
          <w:rFonts w:ascii="Arial" w:hAnsi="Arial" w:cs="Arial"/>
          <w:sz w:val="20"/>
        </w:rPr>
      </w:pPr>
    </w:p>
    <w:p w:rsidR="000A5EB3" w:rsidRPr="009D1443" w:rsidRDefault="000A5EB3" w:rsidP="002F59F6">
      <w:pPr>
        <w:ind w:left="567"/>
        <w:jc w:val="both"/>
        <w:rPr>
          <w:rFonts w:ascii="Arial" w:hAnsi="Arial" w:cs="Arial"/>
          <w:sz w:val="20"/>
        </w:rPr>
      </w:pPr>
    </w:p>
    <w:p w:rsidR="00CB6BE7" w:rsidRPr="00AD27DE" w:rsidRDefault="00CB6BE7" w:rsidP="00CB6BE7">
      <w:pPr>
        <w:jc w:val="both"/>
        <w:rPr>
          <w:rFonts w:ascii="Century Gothic" w:hAnsi="Century Gothic"/>
          <w:sz w:val="20"/>
        </w:rPr>
      </w:pPr>
    </w:p>
    <w:p w:rsidR="00CB6BE7" w:rsidRPr="00AF7743" w:rsidRDefault="00CB6BE7" w:rsidP="00C21A08">
      <w:pPr>
        <w:jc w:val="both"/>
        <w:rPr>
          <w:rFonts w:ascii="Arial" w:hAnsi="Arial" w:cs="Arial"/>
          <w:sz w:val="20"/>
        </w:rPr>
      </w:pPr>
    </w:p>
    <w:sectPr w:rsidR="00CB6BE7" w:rsidRPr="00AF7743" w:rsidSect="000C6778">
      <w:headerReference w:type="default" r:id="rId17"/>
      <w:footerReference w:type="even" r:id="rId18"/>
      <w:footerReference w:type="default" r:id="rId19"/>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77F" w:rsidRDefault="005B077F">
      <w:r>
        <w:separator/>
      </w:r>
    </w:p>
  </w:endnote>
  <w:endnote w:type="continuationSeparator" w:id="0">
    <w:p w:rsidR="005B077F" w:rsidRDefault="005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3" w:rsidRDefault="000A5E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5EB3" w:rsidRDefault="000A5E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0A5EB3" w:rsidTr="00367EBF">
      <w:tc>
        <w:tcPr>
          <w:tcW w:w="3182" w:type="dxa"/>
          <w:tcBorders>
            <w:top w:val="thinThickSmallGap" w:sz="24" w:space="0" w:color="auto"/>
            <w:left w:val="nil"/>
            <w:bottom w:val="nil"/>
            <w:right w:val="nil"/>
          </w:tcBorders>
        </w:tcPr>
        <w:p w:rsidR="000A5EB3" w:rsidRPr="00367EBF" w:rsidRDefault="000A5EB3"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A5EB3" w:rsidRPr="00367EBF" w:rsidRDefault="000A5EB3"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A5EB3" w:rsidRPr="00367EBF" w:rsidRDefault="000A5EB3" w:rsidP="00367EBF">
          <w:pPr>
            <w:pStyle w:val="Piedepgina"/>
            <w:jc w:val="center"/>
            <w:rPr>
              <w:rFonts w:ascii="Arial" w:hAnsi="Arial" w:cs="Arial"/>
              <w:b/>
              <w:bCs/>
              <w:lang w:eastAsia="es-MX"/>
            </w:rPr>
          </w:pPr>
        </w:p>
      </w:tc>
    </w:tr>
  </w:tbl>
  <w:p w:rsidR="000A5EB3" w:rsidRPr="00611044" w:rsidRDefault="000A5EB3"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77F" w:rsidRDefault="005B077F">
      <w:r>
        <w:separator/>
      </w:r>
    </w:p>
  </w:footnote>
  <w:footnote w:type="continuationSeparator" w:id="0">
    <w:p w:rsidR="005B077F" w:rsidRDefault="005B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3" w:rsidRPr="00C73094" w:rsidRDefault="000A5EB3"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34263">
      <w:rPr>
        <w:rStyle w:val="Nmerodepgina"/>
        <w:rFonts w:ascii="Arial" w:hAnsi="Arial" w:cs="Arial"/>
        <w:b/>
        <w:bCs/>
        <w:i/>
        <w:iCs/>
        <w:noProof/>
        <w:sz w:val="20"/>
      </w:rPr>
      <w:t>26</w:t>
    </w:r>
    <w:r>
      <w:rPr>
        <w:rStyle w:val="Nmerodepgina"/>
        <w:rFonts w:ascii="Arial" w:hAnsi="Arial" w:cs="Arial"/>
        <w:b/>
        <w:bCs/>
        <w:i/>
        <w:iCs/>
        <w:sz w:val="20"/>
      </w:rPr>
      <w:fldChar w:fldCharType="end"/>
    </w:r>
  </w:p>
  <w:p w:rsidR="000A5EB3" w:rsidRDefault="000A5EB3">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1">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6"/>
  </w:num>
  <w:num w:numId="6">
    <w:abstractNumId w:val="17"/>
  </w:num>
  <w:num w:numId="7">
    <w:abstractNumId w:val="2"/>
  </w:num>
  <w:num w:numId="8">
    <w:abstractNumId w:val="3"/>
  </w:num>
  <w:num w:numId="9">
    <w:abstractNumId w:val="8"/>
  </w:num>
  <w:num w:numId="10">
    <w:abstractNumId w:val="12"/>
  </w:num>
  <w:num w:numId="11">
    <w:abstractNumId w:val="20"/>
  </w:num>
  <w:num w:numId="12">
    <w:abstractNumId w:val="6"/>
  </w:num>
  <w:num w:numId="13">
    <w:abstractNumId w:val="11"/>
  </w:num>
  <w:num w:numId="14">
    <w:abstractNumId w:val="22"/>
  </w:num>
  <w:num w:numId="15">
    <w:abstractNumId w:val="19"/>
  </w:num>
  <w:num w:numId="16">
    <w:abstractNumId w:val="21"/>
  </w:num>
  <w:num w:numId="17">
    <w:abstractNumId w:val="13"/>
  </w:num>
  <w:num w:numId="18">
    <w:abstractNumId w:val="5"/>
  </w:num>
  <w:num w:numId="19">
    <w:abstractNumId w:val="18"/>
  </w:num>
  <w:num w:numId="20">
    <w:abstractNumId w:val="9"/>
  </w:num>
  <w:num w:numId="21">
    <w:abstractNumId w:val="14"/>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D59"/>
    <w:rsid w:val="000260DF"/>
    <w:rsid w:val="00031400"/>
    <w:rsid w:val="000329BA"/>
    <w:rsid w:val="00037674"/>
    <w:rsid w:val="00061CF7"/>
    <w:rsid w:val="00064186"/>
    <w:rsid w:val="00065DA6"/>
    <w:rsid w:val="00066D8A"/>
    <w:rsid w:val="0007051B"/>
    <w:rsid w:val="000759D6"/>
    <w:rsid w:val="00077C54"/>
    <w:rsid w:val="00082D73"/>
    <w:rsid w:val="00083155"/>
    <w:rsid w:val="00090F7F"/>
    <w:rsid w:val="000946A8"/>
    <w:rsid w:val="0009713C"/>
    <w:rsid w:val="000A1092"/>
    <w:rsid w:val="000A1799"/>
    <w:rsid w:val="000A38DA"/>
    <w:rsid w:val="000A5EB3"/>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A6B"/>
    <w:rsid w:val="002032CC"/>
    <w:rsid w:val="00203A3C"/>
    <w:rsid w:val="00206E1B"/>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82F"/>
    <w:rsid w:val="00257586"/>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3FED"/>
    <w:rsid w:val="00364A9B"/>
    <w:rsid w:val="00364C63"/>
    <w:rsid w:val="003670C5"/>
    <w:rsid w:val="00367EBF"/>
    <w:rsid w:val="00370084"/>
    <w:rsid w:val="0037307C"/>
    <w:rsid w:val="00373A14"/>
    <w:rsid w:val="003749A3"/>
    <w:rsid w:val="003761BC"/>
    <w:rsid w:val="003843C3"/>
    <w:rsid w:val="003847EA"/>
    <w:rsid w:val="00386155"/>
    <w:rsid w:val="00391CEB"/>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4E47"/>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5153"/>
    <w:rsid w:val="00496D8C"/>
    <w:rsid w:val="004A5533"/>
    <w:rsid w:val="004B11A6"/>
    <w:rsid w:val="004B2EA0"/>
    <w:rsid w:val="004B2FA1"/>
    <w:rsid w:val="004B3CEB"/>
    <w:rsid w:val="004C3143"/>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077F"/>
    <w:rsid w:val="005B19D1"/>
    <w:rsid w:val="005B337C"/>
    <w:rsid w:val="005C04EC"/>
    <w:rsid w:val="005C250B"/>
    <w:rsid w:val="005C4C07"/>
    <w:rsid w:val="005D1653"/>
    <w:rsid w:val="005D182A"/>
    <w:rsid w:val="005D21FF"/>
    <w:rsid w:val="005D683F"/>
    <w:rsid w:val="005E1323"/>
    <w:rsid w:val="005E2497"/>
    <w:rsid w:val="005E30E7"/>
    <w:rsid w:val="005E3C94"/>
    <w:rsid w:val="005E3C96"/>
    <w:rsid w:val="005E6CF2"/>
    <w:rsid w:val="005F15C6"/>
    <w:rsid w:val="005F1652"/>
    <w:rsid w:val="005F1E4F"/>
    <w:rsid w:val="00603A40"/>
    <w:rsid w:val="00603A7C"/>
    <w:rsid w:val="00605E02"/>
    <w:rsid w:val="00607940"/>
    <w:rsid w:val="00611044"/>
    <w:rsid w:val="00611F43"/>
    <w:rsid w:val="006148D6"/>
    <w:rsid w:val="0061630F"/>
    <w:rsid w:val="00621466"/>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62BD"/>
    <w:rsid w:val="006A1F64"/>
    <w:rsid w:val="006A7203"/>
    <w:rsid w:val="006B1035"/>
    <w:rsid w:val="006B1285"/>
    <w:rsid w:val="006C0729"/>
    <w:rsid w:val="006C3602"/>
    <w:rsid w:val="006C59FD"/>
    <w:rsid w:val="006C666D"/>
    <w:rsid w:val="006D49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4AA7"/>
    <w:rsid w:val="008E2E71"/>
    <w:rsid w:val="008E5F4B"/>
    <w:rsid w:val="008E631C"/>
    <w:rsid w:val="008E704B"/>
    <w:rsid w:val="008F004F"/>
    <w:rsid w:val="008F0A3B"/>
    <w:rsid w:val="008F74E0"/>
    <w:rsid w:val="00905572"/>
    <w:rsid w:val="009074DB"/>
    <w:rsid w:val="00912B71"/>
    <w:rsid w:val="00913200"/>
    <w:rsid w:val="009137BA"/>
    <w:rsid w:val="00914084"/>
    <w:rsid w:val="009140F2"/>
    <w:rsid w:val="0091469B"/>
    <w:rsid w:val="0091501E"/>
    <w:rsid w:val="00923FB6"/>
    <w:rsid w:val="00926012"/>
    <w:rsid w:val="009274E3"/>
    <w:rsid w:val="00927710"/>
    <w:rsid w:val="00931210"/>
    <w:rsid w:val="0093250B"/>
    <w:rsid w:val="00934263"/>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F3DBC"/>
    <w:rsid w:val="00AF6823"/>
    <w:rsid w:val="00AF7743"/>
    <w:rsid w:val="00AF78C3"/>
    <w:rsid w:val="00B010DB"/>
    <w:rsid w:val="00B02533"/>
    <w:rsid w:val="00B034B2"/>
    <w:rsid w:val="00B036EF"/>
    <w:rsid w:val="00B064B4"/>
    <w:rsid w:val="00B07CD6"/>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8469D"/>
    <w:rsid w:val="00B9046D"/>
    <w:rsid w:val="00BA0C80"/>
    <w:rsid w:val="00BA3BFE"/>
    <w:rsid w:val="00BB0FAF"/>
    <w:rsid w:val="00BC03E7"/>
    <w:rsid w:val="00BC5807"/>
    <w:rsid w:val="00BD1100"/>
    <w:rsid w:val="00BD1A7F"/>
    <w:rsid w:val="00BD5F38"/>
    <w:rsid w:val="00BE09EE"/>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17F2D"/>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665A"/>
    <w:rsid w:val="00E00D35"/>
    <w:rsid w:val="00E02585"/>
    <w:rsid w:val="00E052F2"/>
    <w:rsid w:val="00E1050E"/>
    <w:rsid w:val="00E13224"/>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1FF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E0F"/>
    <w:rsid w:val="00F96A2B"/>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5/cxlviii-53-030523.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tamaulipas.gob.mx/wp-content/uploads/2023/05/cxlviii-53-03052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2/04/cxlvii-44-130422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5/cxlviii-53-030523.pdf" TargetMode="External"/><Relationship Id="rId5" Type="http://schemas.openxmlformats.org/officeDocument/2006/relationships/settings" Target="settings.xml"/><Relationship Id="rId15" Type="http://schemas.openxmlformats.org/officeDocument/2006/relationships/hyperlink" Target="https://po.tamaulipas.gob.mx/wp-content/uploads/2023/05/cxlviii-53-030523.pdf" TargetMode="External"/><Relationship Id="rId10" Type="http://schemas.openxmlformats.org/officeDocument/2006/relationships/hyperlink" Target="https://po.tamaulipas.gob.mx/wp-content/uploads/2023/05/cxlviii-53-030523.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5/cxlviii-53-0305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12604-4515-4716-8932-37D3333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18426</Words>
  <Characters>101343</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Ley de Fiscalizacion y Rendicion de Cuentas del  Estado</vt:lpstr>
    </vt:vector>
  </TitlesOfParts>
  <Company>Hewlett-Packard</Company>
  <LinksUpToDate>false</LinksUpToDate>
  <CharactersWithSpaces>119530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Fiscalizacion y Rendicion de Cuentas del  Estado</dc:title>
  <dc:creator>USUARIO</dc:creator>
  <cp:lastModifiedBy>USUARIO</cp:lastModifiedBy>
  <cp:revision>7</cp:revision>
  <cp:lastPrinted>2017-06-08T01:55:00Z</cp:lastPrinted>
  <dcterms:created xsi:type="dcterms:W3CDTF">2023-05-03T21:56:00Z</dcterms:created>
  <dcterms:modified xsi:type="dcterms:W3CDTF">2023-05-03T23:18:00Z</dcterms:modified>
  <cp:category>Ley de Fiscalizacion y Rendicion de Cuentas del Estado de Tamaulipas 03mayo23</cp:category>
</cp:coreProperties>
</file>